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7E1B6" w14:textId="77777777" w:rsidR="00657584" w:rsidRDefault="00657584" w:rsidP="00657584">
      <w:pPr>
        <w:rPr>
          <w:rFonts w:ascii="Times New Roman" w:hAnsi="Times New Roman"/>
          <w:sz w:val="24"/>
          <w:szCs w:val="24"/>
        </w:rPr>
      </w:pPr>
    </w:p>
    <w:p w14:paraId="128ABFE3" w14:textId="6B3F1738" w:rsidR="006045E1" w:rsidRPr="002F756E" w:rsidRDefault="006045E1" w:rsidP="00657584">
      <w:pPr>
        <w:rPr>
          <w:rFonts w:ascii="Times New Roman" w:hAnsi="Times New Roman"/>
          <w:sz w:val="22"/>
          <w:szCs w:val="22"/>
        </w:rPr>
      </w:pPr>
      <w:r w:rsidRPr="002F756E">
        <w:rPr>
          <w:rFonts w:ascii="Times New Roman" w:hAnsi="Times New Roman"/>
          <w:sz w:val="22"/>
          <w:szCs w:val="22"/>
        </w:rPr>
        <w:t>KLASA:</w:t>
      </w:r>
      <w:r w:rsidRPr="002F756E">
        <w:rPr>
          <w:rFonts w:ascii="Times New Roman" w:hAnsi="Times New Roman"/>
          <w:sz w:val="22"/>
          <w:szCs w:val="22"/>
        </w:rPr>
        <w:tab/>
      </w:r>
      <w:r w:rsidR="0071228D">
        <w:rPr>
          <w:rFonts w:ascii="Times New Roman" w:hAnsi="Times New Roman"/>
          <w:sz w:val="22"/>
          <w:szCs w:val="22"/>
        </w:rPr>
        <w:t>24</w:t>
      </w:r>
      <w:r w:rsidR="00601293">
        <w:rPr>
          <w:rFonts w:ascii="Times New Roman" w:hAnsi="Times New Roman"/>
          <w:sz w:val="22"/>
          <w:szCs w:val="22"/>
        </w:rPr>
        <w:t>0</w:t>
      </w:r>
      <w:r w:rsidR="0071228D">
        <w:rPr>
          <w:rFonts w:ascii="Times New Roman" w:hAnsi="Times New Roman"/>
          <w:sz w:val="22"/>
          <w:szCs w:val="22"/>
        </w:rPr>
        <w:t>-0</w:t>
      </w:r>
      <w:r w:rsidR="00450F9A">
        <w:rPr>
          <w:rFonts w:ascii="Times New Roman" w:hAnsi="Times New Roman"/>
          <w:sz w:val="22"/>
          <w:szCs w:val="22"/>
        </w:rPr>
        <w:t>3</w:t>
      </w:r>
      <w:r w:rsidR="0071228D">
        <w:rPr>
          <w:rFonts w:ascii="Times New Roman" w:hAnsi="Times New Roman"/>
          <w:sz w:val="22"/>
          <w:szCs w:val="22"/>
        </w:rPr>
        <w:t>/2</w:t>
      </w:r>
      <w:r w:rsidR="00450F9A">
        <w:rPr>
          <w:rFonts w:ascii="Times New Roman" w:hAnsi="Times New Roman"/>
          <w:sz w:val="22"/>
          <w:szCs w:val="22"/>
        </w:rPr>
        <w:t>6</w:t>
      </w:r>
      <w:r w:rsidR="0071228D">
        <w:rPr>
          <w:rFonts w:ascii="Times New Roman" w:hAnsi="Times New Roman"/>
          <w:sz w:val="22"/>
          <w:szCs w:val="22"/>
        </w:rPr>
        <w:t>-01/</w:t>
      </w:r>
      <w:r w:rsidR="002D3431">
        <w:rPr>
          <w:rFonts w:ascii="Times New Roman" w:hAnsi="Times New Roman"/>
          <w:sz w:val="22"/>
          <w:szCs w:val="22"/>
        </w:rPr>
        <w:t>0</w:t>
      </w:r>
      <w:r w:rsidR="00450F9A">
        <w:rPr>
          <w:rFonts w:ascii="Times New Roman" w:hAnsi="Times New Roman"/>
          <w:sz w:val="22"/>
          <w:szCs w:val="22"/>
        </w:rPr>
        <w:t>3</w:t>
      </w:r>
      <w:r w:rsidR="00AF7536" w:rsidRPr="002F756E">
        <w:rPr>
          <w:rFonts w:ascii="Times New Roman" w:hAnsi="Times New Roman"/>
          <w:sz w:val="22"/>
          <w:szCs w:val="22"/>
        </w:rPr>
        <w:fldChar w:fldCharType="begin"/>
      </w:r>
      <w:r w:rsidRPr="002F756E">
        <w:rPr>
          <w:rFonts w:ascii="Times New Roman" w:hAnsi="Times New Roman"/>
          <w:sz w:val="22"/>
          <w:szCs w:val="22"/>
        </w:rPr>
        <w:instrText xml:space="preserve"> FILLIN "Upisite klasu..." \d "UP-I°" \* MERGEFORMAT </w:instrText>
      </w:r>
      <w:r w:rsidR="00AF7536" w:rsidRPr="002F756E">
        <w:rPr>
          <w:rFonts w:ascii="Times New Roman" w:hAnsi="Times New Roman"/>
          <w:sz w:val="22"/>
          <w:szCs w:val="22"/>
        </w:rPr>
        <w:fldChar w:fldCharType="end"/>
      </w:r>
    </w:p>
    <w:p w14:paraId="6FF026DA" w14:textId="1C38E452" w:rsidR="006045E1" w:rsidRPr="002F756E" w:rsidRDefault="006045E1" w:rsidP="00657584">
      <w:pPr>
        <w:rPr>
          <w:rFonts w:ascii="Times New Roman" w:hAnsi="Times New Roman"/>
          <w:sz w:val="22"/>
          <w:szCs w:val="22"/>
        </w:rPr>
      </w:pPr>
      <w:r w:rsidRPr="002F756E">
        <w:rPr>
          <w:rFonts w:ascii="Times New Roman" w:hAnsi="Times New Roman"/>
          <w:sz w:val="22"/>
          <w:szCs w:val="22"/>
        </w:rPr>
        <w:t>URBROJ:</w:t>
      </w:r>
      <w:r w:rsidRPr="002F756E">
        <w:rPr>
          <w:rFonts w:ascii="Times New Roman" w:hAnsi="Times New Roman"/>
          <w:sz w:val="22"/>
          <w:szCs w:val="22"/>
        </w:rPr>
        <w:tab/>
      </w:r>
      <w:r w:rsidR="00666F9C">
        <w:rPr>
          <w:rFonts w:ascii="Times New Roman" w:hAnsi="Times New Roman"/>
          <w:sz w:val="22"/>
          <w:szCs w:val="22"/>
        </w:rPr>
        <w:t>2117-</w:t>
      </w:r>
      <w:r w:rsidR="00D23FBD">
        <w:rPr>
          <w:rFonts w:ascii="Times New Roman" w:hAnsi="Times New Roman"/>
          <w:sz w:val="22"/>
          <w:szCs w:val="22"/>
        </w:rPr>
        <w:t>0</w:t>
      </w:r>
      <w:r w:rsidR="00666F9C">
        <w:rPr>
          <w:rFonts w:ascii="Times New Roman" w:hAnsi="Times New Roman"/>
          <w:sz w:val="22"/>
          <w:szCs w:val="22"/>
        </w:rPr>
        <w:t>3-2</w:t>
      </w:r>
      <w:r w:rsidR="00450F9A">
        <w:rPr>
          <w:rFonts w:ascii="Times New Roman" w:hAnsi="Times New Roman"/>
          <w:sz w:val="22"/>
          <w:szCs w:val="22"/>
        </w:rPr>
        <w:t>6</w:t>
      </w:r>
      <w:r w:rsidR="00657584" w:rsidRPr="002F756E">
        <w:rPr>
          <w:rFonts w:ascii="Times New Roman" w:hAnsi="Times New Roman"/>
          <w:sz w:val="22"/>
          <w:szCs w:val="22"/>
        </w:rPr>
        <w:t>-</w:t>
      </w:r>
      <w:r w:rsidR="00450F9A">
        <w:rPr>
          <w:rFonts w:ascii="Times New Roman" w:hAnsi="Times New Roman"/>
          <w:sz w:val="22"/>
          <w:szCs w:val="22"/>
        </w:rPr>
        <w:t>2</w:t>
      </w:r>
      <w:r w:rsidR="00AF7536" w:rsidRPr="002F756E">
        <w:rPr>
          <w:rFonts w:ascii="Times New Roman" w:hAnsi="Times New Roman"/>
          <w:sz w:val="22"/>
          <w:szCs w:val="22"/>
        </w:rPr>
        <w:fldChar w:fldCharType="begin"/>
      </w:r>
      <w:r w:rsidRPr="002F756E">
        <w:rPr>
          <w:rFonts w:ascii="Times New Roman" w:hAnsi="Times New Roman"/>
          <w:sz w:val="22"/>
          <w:szCs w:val="22"/>
        </w:rPr>
        <w:instrText xml:space="preserve"> FILLIN  "Upisite URBROJ..." \* MERGEFORMAT </w:instrText>
      </w:r>
      <w:r w:rsidR="00AF7536" w:rsidRPr="002F756E">
        <w:rPr>
          <w:rFonts w:ascii="Times New Roman" w:hAnsi="Times New Roman"/>
          <w:sz w:val="22"/>
          <w:szCs w:val="22"/>
        </w:rPr>
        <w:fldChar w:fldCharType="end"/>
      </w:r>
    </w:p>
    <w:p w14:paraId="6B0F6CA8" w14:textId="1066A33F" w:rsidR="006045E1" w:rsidRPr="002F756E" w:rsidRDefault="006045E1" w:rsidP="00657584">
      <w:pPr>
        <w:rPr>
          <w:rFonts w:ascii="Times New Roman" w:hAnsi="Times New Roman"/>
          <w:sz w:val="22"/>
          <w:szCs w:val="22"/>
        </w:rPr>
      </w:pPr>
      <w:r w:rsidRPr="002F756E">
        <w:rPr>
          <w:rFonts w:ascii="Times New Roman" w:hAnsi="Times New Roman"/>
          <w:sz w:val="22"/>
          <w:szCs w:val="22"/>
        </w:rPr>
        <w:t xml:space="preserve">Babino Polje, </w:t>
      </w:r>
      <w:r w:rsidRPr="002F756E">
        <w:rPr>
          <w:rFonts w:ascii="Times New Roman" w:hAnsi="Times New Roman"/>
          <w:sz w:val="22"/>
          <w:szCs w:val="22"/>
        </w:rPr>
        <w:tab/>
      </w:r>
      <w:r w:rsidR="00450F9A">
        <w:rPr>
          <w:rFonts w:ascii="Times New Roman" w:hAnsi="Times New Roman"/>
          <w:sz w:val="22"/>
          <w:szCs w:val="22"/>
        </w:rPr>
        <w:t>16.10</w:t>
      </w:r>
      <w:r w:rsidR="0071228D">
        <w:rPr>
          <w:rFonts w:ascii="Times New Roman" w:hAnsi="Times New Roman"/>
          <w:sz w:val="22"/>
          <w:szCs w:val="22"/>
        </w:rPr>
        <w:t>.202</w:t>
      </w:r>
      <w:r w:rsidR="00450F9A">
        <w:rPr>
          <w:rFonts w:ascii="Times New Roman" w:hAnsi="Times New Roman"/>
          <w:sz w:val="22"/>
          <w:szCs w:val="22"/>
        </w:rPr>
        <w:t>6</w:t>
      </w:r>
      <w:r w:rsidR="0071228D">
        <w:rPr>
          <w:rFonts w:ascii="Times New Roman" w:hAnsi="Times New Roman"/>
          <w:sz w:val="22"/>
          <w:szCs w:val="22"/>
        </w:rPr>
        <w:t>.</w:t>
      </w:r>
      <w:r w:rsidR="00AF7536" w:rsidRPr="002F756E">
        <w:rPr>
          <w:rFonts w:ascii="Times New Roman" w:hAnsi="Times New Roman"/>
          <w:sz w:val="22"/>
          <w:szCs w:val="22"/>
        </w:rPr>
        <w:fldChar w:fldCharType="begin"/>
      </w:r>
      <w:r w:rsidRPr="002F756E">
        <w:rPr>
          <w:rFonts w:ascii="Times New Roman" w:hAnsi="Times New Roman"/>
          <w:sz w:val="22"/>
          <w:szCs w:val="22"/>
        </w:rPr>
        <w:instrText xml:space="preserve"> FILLIN "Upisite datum..." \d </w:instrText>
      </w:r>
      <w:r w:rsidR="00AF7536" w:rsidRPr="002F756E">
        <w:rPr>
          <w:rFonts w:ascii="Times New Roman" w:hAnsi="Times New Roman"/>
          <w:sz w:val="22"/>
          <w:szCs w:val="22"/>
        </w:rPr>
        <w:fldChar w:fldCharType="begin"/>
      </w:r>
      <w:r w:rsidRPr="002F756E">
        <w:rPr>
          <w:rFonts w:ascii="Times New Roman" w:hAnsi="Times New Roman"/>
          <w:sz w:val="22"/>
          <w:szCs w:val="22"/>
        </w:rPr>
        <w:instrText xml:space="preserve"> DATE \@ "dd.MM.yyyy" \* MERGEFORMAT </w:instrText>
      </w:r>
      <w:r w:rsidR="00AF7536" w:rsidRPr="002F756E">
        <w:rPr>
          <w:rFonts w:ascii="Times New Roman" w:hAnsi="Times New Roman"/>
          <w:sz w:val="22"/>
          <w:szCs w:val="22"/>
        </w:rPr>
        <w:fldChar w:fldCharType="separate"/>
      </w:r>
      <w:r w:rsidR="00601293">
        <w:rPr>
          <w:rFonts w:ascii="Times New Roman" w:hAnsi="Times New Roman"/>
          <w:noProof/>
          <w:sz w:val="22"/>
          <w:szCs w:val="22"/>
        </w:rPr>
        <w:instrText>20.10.2026</w:instrText>
      </w:r>
      <w:r w:rsidR="00AF7536" w:rsidRPr="002F756E">
        <w:rPr>
          <w:rFonts w:ascii="Times New Roman" w:hAnsi="Times New Roman"/>
          <w:sz w:val="22"/>
          <w:szCs w:val="22"/>
        </w:rPr>
        <w:fldChar w:fldCharType="end"/>
      </w:r>
      <w:r w:rsidRPr="002F756E">
        <w:rPr>
          <w:rFonts w:ascii="Times New Roman" w:hAnsi="Times New Roman"/>
          <w:sz w:val="22"/>
          <w:szCs w:val="22"/>
        </w:rPr>
        <w:instrText xml:space="preserve"> \* MERGEFORMAT </w:instrText>
      </w:r>
      <w:r w:rsidR="00AF7536" w:rsidRPr="002F756E">
        <w:rPr>
          <w:rFonts w:ascii="Times New Roman" w:hAnsi="Times New Roman"/>
          <w:sz w:val="22"/>
          <w:szCs w:val="22"/>
        </w:rPr>
        <w:fldChar w:fldCharType="end"/>
      </w:r>
    </w:p>
    <w:p w14:paraId="49C865C9" w14:textId="77777777" w:rsidR="00666F9C" w:rsidRDefault="00666F9C"/>
    <w:p w14:paraId="27F5BA7F" w14:textId="6463D042" w:rsidR="00657584" w:rsidRDefault="00666F9C" w:rsidP="00657584">
      <w:pPr>
        <w:ind w:firstLine="720"/>
        <w:rPr>
          <w:rFonts w:ascii="Times New Roman" w:hAnsi="Times New Roman"/>
          <w:sz w:val="22"/>
          <w:szCs w:val="22"/>
        </w:rPr>
      </w:pPr>
      <w:r>
        <w:rPr>
          <w:rFonts w:ascii="Times New Roman" w:hAnsi="Times New Roman"/>
          <w:sz w:val="22"/>
          <w:szCs w:val="22"/>
        </w:rPr>
        <w:t>Na temelju</w:t>
      </w:r>
      <w:r w:rsidR="00657584">
        <w:rPr>
          <w:rFonts w:ascii="Times New Roman" w:hAnsi="Times New Roman"/>
          <w:sz w:val="22"/>
          <w:szCs w:val="22"/>
        </w:rPr>
        <w:t xml:space="preserve"> članka 5</w:t>
      </w:r>
      <w:r w:rsidR="0071228D">
        <w:rPr>
          <w:rFonts w:ascii="Times New Roman" w:hAnsi="Times New Roman"/>
          <w:sz w:val="22"/>
          <w:szCs w:val="22"/>
        </w:rPr>
        <w:t>3</w:t>
      </w:r>
      <w:r w:rsidR="00657584">
        <w:rPr>
          <w:rFonts w:ascii="Times New Roman" w:hAnsi="Times New Roman"/>
          <w:sz w:val="22"/>
          <w:szCs w:val="22"/>
        </w:rPr>
        <w:t xml:space="preserve">. stavak </w:t>
      </w:r>
      <w:r w:rsidR="0071228D">
        <w:rPr>
          <w:rFonts w:ascii="Times New Roman" w:hAnsi="Times New Roman"/>
          <w:sz w:val="22"/>
          <w:szCs w:val="22"/>
        </w:rPr>
        <w:t>1</w:t>
      </w:r>
      <w:r w:rsidR="00657584">
        <w:rPr>
          <w:rFonts w:ascii="Times New Roman" w:hAnsi="Times New Roman"/>
          <w:sz w:val="22"/>
          <w:szCs w:val="22"/>
        </w:rPr>
        <w:t xml:space="preserve">. točka 1. Statuta Općine Mljet („Službeni glasnik Općine Mljet“ broj </w:t>
      </w:r>
      <w:r>
        <w:rPr>
          <w:rFonts w:ascii="Times New Roman" w:hAnsi="Times New Roman"/>
          <w:sz w:val="22"/>
          <w:szCs w:val="22"/>
        </w:rPr>
        <w:t>2/2</w:t>
      </w:r>
      <w:r w:rsidR="0071228D">
        <w:rPr>
          <w:rFonts w:ascii="Times New Roman" w:hAnsi="Times New Roman"/>
          <w:sz w:val="22"/>
          <w:szCs w:val="22"/>
        </w:rPr>
        <w:t>1 i 5/21-ispr.</w:t>
      </w:r>
      <w:r w:rsidR="00657584">
        <w:rPr>
          <w:rFonts w:ascii="Times New Roman" w:hAnsi="Times New Roman"/>
          <w:sz w:val="22"/>
          <w:szCs w:val="22"/>
        </w:rPr>
        <w:t>)</w:t>
      </w:r>
      <w:r w:rsidR="00657584" w:rsidRPr="00AC2081">
        <w:rPr>
          <w:rFonts w:ascii="Times New Roman" w:hAnsi="Times New Roman"/>
          <w:sz w:val="22"/>
          <w:szCs w:val="22"/>
        </w:rPr>
        <w:t>,</w:t>
      </w:r>
      <w:r w:rsidR="0071228D">
        <w:t xml:space="preserve"> </w:t>
      </w:r>
      <w:r w:rsidR="00657584">
        <w:rPr>
          <w:rFonts w:ascii="Times New Roman" w:hAnsi="Times New Roman"/>
          <w:sz w:val="22"/>
          <w:szCs w:val="22"/>
        </w:rPr>
        <w:t xml:space="preserve">Općinski načelnik Općine Mljet dana </w:t>
      </w:r>
      <w:r w:rsidR="00450F9A">
        <w:rPr>
          <w:rFonts w:ascii="Times New Roman" w:hAnsi="Times New Roman"/>
          <w:sz w:val="22"/>
          <w:szCs w:val="22"/>
        </w:rPr>
        <w:t>16. listopada</w:t>
      </w:r>
      <w:r w:rsidR="00850D0C">
        <w:rPr>
          <w:rFonts w:ascii="Times New Roman" w:hAnsi="Times New Roman"/>
          <w:sz w:val="22"/>
          <w:szCs w:val="22"/>
        </w:rPr>
        <w:t xml:space="preserve"> 202</w:t>
      </w:r>
      <w:r w:rsidR="00450F9A">
        <w:rPr>
          <w:rFonts w:ascii="Times New Roman" w:hAnsi="Times New Roman"/>
          <w:sz w:val="22"/>
          <w:szCs w:val="22"/>
        </w:rPr>
        <w:t>6</w:t>
      </w:r>
      <w:r w:rsidR="00850D0C">
        <w:rPr>
          <w:rFonts w:ascii="Times New Roman" w:hAnsi="Times New Roman"/>
          <w:sz w:val="22"/>
          <w:szCs w:val="22"/>
        </w:rPr>
        <w:t>.</w:t>
      </w:r>
      <w:r w:rsidR="003025C5">
        <w:rPr>
          <w:rFonts w:ascii="Times New Roman" w:hAnsi="Times New Roman"/>
          <w:sz w:val="22"/>
          <w:szCs w:val="22"/>
        </w:rPr>
        <w:t xml:space="preserve"> </w:t>
      </w:r>
      <w:r w:rsidR="00657584">
        <w:rPr>
          <w:rFonts w:ascii="Times New Roman" w:hAnsi="Times New Roman"/>
          <w:sz w:val="22"/>
          <w:szCs w:val="22"/>
        </w:rPr>
        <w:t xml:space="preserve"> godine donosi slijedeći</w:t>
      </w:r>
    </w:p>
    <w:p w14:paraId="190051E3" w14:textId="77777777" w:rsidR="00657584" w:rsidRDefault="00657584" w:rsidP="00657584">
      <w:pPr>
        <w:rPr>
          <w:rFonts w:ascii="Times New Roman" w:hAnsi="Times New Roman"/>
          <w:sz w:val="22"/>
          <w:szCs w:val="22"/>
        </w:rPr>
      </w:pPr>
    </w:p>
    <w:p w14:paraId="3C522A56" w14:textId="77777777" w:rsidR="00657584" w:rsidRDefault="00657584" w:rsidP="00657584">
      <w:pPr>
        <w:jc w:val="center"/>
        <w:rPr>
          <w:rFonts w:ascii="Times New Roman" w:hAnsi="Times New Roman"/>
          <w:b/>
          <w:sz w:val="22"/>
          <w:szCs w:val="22"/>
        </w:rPr>
      </w:pPr>
      <w:r>
        <w:rPr>
          <w:rFonts w:ascii="Times New Roman" w:hAnsi="Times New Roman"/>
          <w:b/>
          <w:sz w:val="22"/>
          <w:szCs w:val="22"/>
        </w:rPr>
        <w:t>Z A K LJ U Č A K</w:t>
      </w:r>
    </w:p>
    <w:p w14:paraId="69325DE1" w14:textId="77777777" w:rsidR="00450F9A" w:rsidRDefault="00657584" w:rsidP="00450F9A">
      <w:pPr>
        <w:jc w:val="center"/>
        <w:rPr>
          <w:rFonts w:ascii="Times New Roman" w:hAnsi="Times New Roman"/>
          <w:b/>
          <w:sz w:val="22"/>
          <w:szCs w:val="22"/>
        </w:rPr>
      </w:pPr>
      <w:r>
        <w:rPr>
          <w:rFonts w:ascii="Times New Roman" w:hAnsi="Times New Roman"/>
          <w:b/>
          <w:sz w:val="22"/>
          <w:szCs w:val="22"/>
        </w:rPr>
        <w:t xml:space="preserve">o utvrđivanju prijedloga </w:t>
      </w:r>
      <w:r w:rsidR="0048499B">
        <w:rPr>
          <w:rFonts w:ascii="Times New Roman" w:hAnsi="Times New Roman"/>
          <w:b/>
          <w:sz w:val="22"/>
          <w:szCs w:val="22"/>
        </w:rPr>
        <w:t xml:space="preserve">Odluke o donošenju </w:t>
      </w:r>
      <w:r w:rsidR="00450F9A">
        <w:rPr>
          <w:rFonts w:ascii="Times New Roman" w:hAnsi="Times New Roman"/>
          <w:b/>
          <w:sz w:val="22"/>
          <w:szCs w:val="22"/>
        </w:rPr>
        <w:t xml:space="preserve">Procjene rizika od velikih nesreća </w:t>
      </w:r>
    </w:p>
    <w:p w14:paraId="2036433A" w14:textId="1EA2DE2E" w:rsidR="00657584" w:rsidRPr="00663C9C" w:rsidRDefault="00450F9A" w:rsidP="00450F9A">
      <w:pPr>
        <w:jc w:val="center"/>
        <w:rPr>
          <w:rFonts w:ascii="Times New Roman" w:hAnsi="Times New Roman"/>
          <w:b/>
          <w:sz w:val="22"/>
          <w:szCs w:val="22"/>
        </w:rPr>
      </w:pPr>
      <w:r>
        <w:rPr>
          <w:rFonts w:ascii="Times New Roman" w:hAnsi="Times New Roman"/>
          <w:b/>
          <w:sz w:val="22"/>
          <w:szCs w:val="22"/>
        </w:rPr>
        <w:t>na području Općine Mljet</w:t>
      </w:r>
    </w:p>
    <w:p w14:paraId="5CBDCAE8" w14:textId="029350BE" w:rsidR="00657584" w:rsidRDefault="009D1618" w:rsidP="00657584">
      <w:pPr>
        <w:jc w:val="center"/>
        <w:rPr>
          <w:rFonts w:ascii="Times New Roman" w:hAnsi="Times New Roman"/>
          <w:b/>
          <w:sz w:val="22"/>
          <w:szCs w:val="22"/>
        </w:rPr>
      </w:pPr>
      <w:r>
        <w:rPr>
          <w:rFonts w:ascii="Times New Roman" w:hAnsi="Times New Roman"/>
          <w:b/>
          <w:sz w:val="22"/>
          <w:szCs w:val="22"/>
        </w:rPr>
        <w:t xml:space="preserve"> (</w:t>
      </w:r>
      <w:r w:rsidR="00B7068A">
        <w:rPr>
          <w:rFonts w:ascii="Times New Roman" w:hAnsi="Times New Roman"/>
          <w:b/>
          <w:sz w:val="22"/>
          <w:szCs w:val="22"/>
        </w:rPr>
        <w:t>19</w:t>
      </w:r>
      <w:r w:rsidR="002C6182">
        <w:rPr>
          <w:rFonts w:ascii="Times New Roman" w:hAnsi="Times New Roman"/>
          <w:b/>
          <w:sz w:val="22"/>
          <w:szCs w:val="22"/>
        </w:rPr>
        <w:t>3</w:t>
      </w:r>
      <w:r w:rsidR="00666F9C">
        <w:rPr>
          <w:rFonts w:ascii="Times New Roman" w:hAnsi="Times New Roman"/>
          <w:b/>
          <w:sz w:val="22"/>
          <w:szCs w:val="22"/>
        </w:rPr>
        <w:t>/202</w:t>
      </w:r>
      <w:r w:rsidR="00450F9A">
        <w:rPr>
          <w:rFonts w:ascii="Times New Roman" w:hAnsi="Times New Roman"/>
          <w:b/>
          <w:sz w:val="22"/>
          <w:szCs w:val="22"/>
        </w:rPr>
        <w:t>6</w:t>
      </w:r>
      <w:r w:rsidR="00657584">
        <w:rPr>
          <w:rFonts w:ascii="Times New Roman" w:hAnsi="Times New Roman"/>
          <w:b/>
          <w:sz w:val="22"/>
          <w:szCs w:val="22"/>
        </w:rPr>
        <w:t>-PAO)</w:t>
      </w:r>
    </w:p>
    <w:p w14:paraId="781E0104" w14:textId="77777777" w:rsidR="00657584" w:rsidRDefault="00657584" w:rsidP="00657584">
      <w:pPr>
        <w:rPr>
          <w:rFonts w:ascii="Times New Roman" w:hAnsi="Times New Roman"/>
          <w:sz w:val="22"/>
          <w:szCs w:val="22"/>
        </w:rPr>
      </w:pPr>
    </w:p>
    <w:p w14:paraId="3219F562" w14:textId="77777777" w:rsidR="00657584" w:rsidRDefault="00657584" w:rsidP="00657584">
      <w:pPr>
        <w:jc w:val="center"/>
        <w:rPr>
          <w:rFonts w:ascii="Times New Roman" w:hAnsi="Times New Roman"/>
          <w:sz w:val="22"/>
          <w:szCs w:val="22"/>
        </w:rPr>
      </w:pPr>
      <w:r>
        <w:rPr>
          <w:rFonts w:ascii="Times New Roman" w:hAnsi="Times New Roman"/>
          <w:sz w:val="22"/>
          <w:szCs w:val="22"/>
        </w:rPr>
        <w:t>I.</w:t>
      </w:r>
    </w:p>
    <w:p w14:paraId="28E77F0E" w14:textId="3DA7195C" w:rsidR="00657584" w:rsidRDefault="00657584" w:rsidP="00657584">
      <w:pPr>
        <w:rPr>
          <w:rFonts w:ascii="Times New Roman" w:hAnsi="Times New Roman"/>
          <w:sz w:val="22"/>
          <w:szCs w:val="22"/>
        </w:rPr>
      </w:pPr>
      <w:r>
        <w:rPr>
          <w:rFonts w:ascii="Times New Roman" w:hAnsi="Times New Roman"/>
          <w:sz w:val="22"/>
          <w:szCs w:val="22"/>
        </w:rPr>
        <w:tab/>
        <w:t xml:space="preserve">Utvrđuje se prijedlog </w:t>
      </w:r>
      <w:r w:rsidR="0048499B">
        <w:rPr>
          <w:rFonts w:ascii="Times New Roman" w:hAnsi="Times New Roman"/>
          <w:sz w:val="22"/>
          <w:szCs w:val="22"/>
        </w:rPr>
        <w:t xml:space="preserve">Odluke o donošenju </w:t>
      </w:r>
      <w:r w:rsidR="00450F9A">
        <w:rPr>
          <w:rFonts w:ascii="Times New Roman" w:hAnsi="Times New Roman"/>
          <w:sz w:val="22"/>
          <w:szCs w:val="22"/>
        </w:rPr>
        <w:t xml:space="preserve">Procjene rizika od velikih nesreća na području </w:t>
      </w:r>
      <w:r>
        <w:rPr>
          <w:rFonts w:ascii="Times New Roman" w:hAnsi="Times New Roman"/>
          <w:sz w:val="22"/>
          <w:szCs w:val="22"/>
        </w:rPr>
        <w:t>Općine Mljet, i to:</w:t>
      </w:r>
    </w:p>
    <w:p w14:paraId="5401F661" w14:textId="77777777" w:rsidR="009A64AC" w:rsidRDefault="009A64AC" w:rsidP="00657584">
      <w:pPr>
        <w:rPr>
          <w:rFonts w:ascii="Times New Roman" w:hAnsi="Times New Roman"/>
          <w:sz w:val="22"/>
          <w:szCs w:val="22"/>
        </w:rPr>
      </w:pPr>
    </w:p>
    <w:p w14:paraId="132E8BD1" w14:textId="2A4080FE" w:rsidR="00450F9A" w:rsidRPr="00450F9A" w:rsidRDefault="009A64AC" w:rsidP="00450F9A">
      <w:pPr>
        <w:ind w:firstLine="708"/>
        <w:jc w:val="both"/>
        <w:rPr>
          <w:rFonts w:ascii="Times New Roman" w:hAnsi="Times New Roman"/>
          <w:sz w:val="22"/>
          <w:szCs w:val="22"/>
        </w:rPr>
      </w:pPr>
      <w:r w:rsidRPr="00450F9A">
        <w:rPr>
          <w:rFonts w:ascii="Times New Roman" w:hAnsi="Times New Roman"/>
          <w:sz w:val="22"/>
          <w:szCs w:val="22"/>
        </w:rPr>
        <w:tab/>
        <w:t>„</w:t>
      </w:r>
      <w:r w:rsidR="00450F9A" w:rsidRPr="00450F9A">
        <w:rPr>
          <w:rFonts w:ascii="Times New Roman" w:hAnsi="Times New Roman"/>
          <w:sz w:val="22"/>
          <w:szCs w:val="22"/>
        </w:rPr>
        <w:t xml:space="preserve">Na temelju članka 17. Zakona o sustavu civilne zaštite (Narodne novine 82/15, 118/18, 31/20, 20/21 i 114/22), članka 7. Pravilnika o smjernicama za izradu procjene rizika od katastrofa i velikih nesreća za područje Republike Hrvatske i jedinica lokalne i područne (regionalne) samouprave (Narodne novine 65/16), članka 3. i članka 9. Smjernicama za izradu procjene rizika od velikih nesreća za područje Dubrovačko-neretvanske županije od 14. veljače 2017. godine (Klasa: 810-01/16-01/15, Ur. broj: 2117/1-01-17-04) i članka </w:t>
      </w:r>
      <w:r w:rsidR="00B7068A">
        <w:rPr>
          <w:rFonts w:ascii="Times New Roman" w:hAnsi="Times New Roman"/>
          <w:sz w:val="22"/>
          <w:szCs w:val="22"/>
        </w:rPr>
        <w:t>37</w:t>
      </w:r>
      <w:r w:rsidR="00450F9A" w:rsidRPr="00450F9A">
        <w:rPr>
          <w:rFonts w:ascii="Times New Roman" w:hAnsi="Times New Roman"/>
          <w:sz w:val="22"/>
          <w:szCs w:val="22"/>
        </w:rPr>
        <w:t xml:space="preserve">. stavak 1. točka </w:t>
      </w:r>
      <w:r w:rsidR="00B7068A">
        <w:rPr>
          <w:rFonts w:ascii="Times New Roman" w:hAnsi="Times New Roman"/>
          <w:sz w:val="22"/>
          <w:szCs w:val="22"/>
        </w:rPr>
        <w:t>23</w:t>
      </w:r>
      <w:r w:rsidR="00450F9A" w:rsidRPr="00450F9A">
        <w:rPr>
          <w:rFonts w:ascii="Times New Roman" w:hAnsi="Times New Roman"/>
          <w:sz w:val="22"/>
          <w:szCs w:val="22"/>
        </w:rPr>
        <w:t>.. Statuta Općine Mljet (Službeni glasnik Općine Mljet broj 2/21 i 5/21-ispravak), Općinsko vijeće Općine Mljet na svojoj _____ sjednici održanoj dana __________ 2026. godine donosi</w:t>
      </w:r>
    </w:p>
    <w:p w14:paraId="78AE98FC" w14:textId="7BB67BDB" w:rsidR="009A64AC" w:rsidRDefault="009A64AC" w:rsidP="00657584">
      <w:pPr>
        <w:rPr>
          <w:rFonts w:ascii="Times New Roman" w:hAnsi="Times New Roman"/>
          <w:sz w:val="22"/>
          <w:szCs w:val="22"/>
        </w:rPr>
      </w:pPr>
    </w:p>
    <w:p w14:paraId="5D2FEBDD" w14:textId="6EFA181D" w:rsidR="009A64AC" w:rsidRPr="009A64AC" w:rsidRDefault="0048499B" w:rsidP="009A64AC">
      <w:pPr>
        <w:jc w:val="center"/>
        <w:rPr>
          <w:rFonts w:ascii="Times New Roman" w:hAnsi="Times New Roman"/>
          <w:b/>
          <w:sz w:val="22"/>
          <w:szCs w:val="22"/>
        </w:rPr>
      </w:pPr>
      <w:r>
        <w:rPr>
          <w:rFonts w:ascii="Times New Roman" w:hAnsi="Times New Roman"/>
          <w:b/>
          <w:sz w:val="22"/>
          <w:szCs w:val="22"/>
        </w:rPr>
        <w:t xml:space="preserve">O  D  L  U  K  </w:t>
      </w:r>
      <w:r w:rsidR="00450F9A">
        <w:rPr>
          <w:rFonts w:ascii="Times New Roman" w:hAnsi="Times New Roman"/>
          <w:b/>
          <w:sz w:val="22"/>
          <w:szCs w:val="22"/>
        </w:rPr>
        <w:t>U</w:t>
      </w:r>
    </w:p>
    <w:p w14:paraId="127861EB" w14:textId="5F8F6ADF" w:rsidR="009A64AC" w:rsidRDefault="0048499B" w:rsidP="009A64AC">
      <w:pPr>
        <w:jc w:val="center"/>
        <w:rPr>
          <w:rFonts w:ascii="Times New Roman" w:hAnsi="Times New Roman"/>
          <w:b/>
          <w:sz w:val="22"/>
          <w:szCs w:val="22"/>
        </w:rPr>
      </w:pPr>
      <w:r>
        <w:rPr>
          <w:rFonts w:ascii="Times New Roman" w:hAnsi="Times New Roman"/>
          <w:b/>
          <w:sz w:val="22"/>
          <w:szCs w:val="22"/>
        </w:rPr>
        <w:t xml:space="preserve">o donošenju </w:t>
      </w:r>
      <w:r w:rsidR="00450F9A" w:rsidRPr="00450F9A">
        <w:rPr>
          <w:rFonts w:ascii="Times New Roman" w:hAnsi="Times New Roman"/>
          <w:b/>
          <w:bCs/>
          <w:sz w:val="22"/>
          <w:szCs w:val="22"/>
        </w:rPr>
        <w:t>Procjene rizika od velikih nesreća na području Općine Mljet</w:t>
      </w:r>
    </w:p>
    <w:p w14:paraId="2F5125AD" w14:textId="77777777" w:rsidR="009A64AC" w:rsidRDefault="009A64AC" w:rsidP="009A64AC">
      <w:pPr>
        <w:jc w:val="center"/>
        <w:rPr>
          <w:rFonts w:ascii="Times New Roman" w:hAnsi="Times New Roman"/>
          <w:b/>
          <w:sz w:val="22"/>
          <w:szCs w:val="22"/>
        </w:rPr>
      </w:pPr>
    </w:p>
    <w:p w14:paraId="571F2541" w14:textId="77777777" w:rsidR="009A64AC" w:rsidRDefault="009A64AC" w:rsidP="009A64AC">
      <w:pPr>
        <w:jc w:val="center"/>
        <w:rPr>
          <w:rFonts w:ascii="Times New Roman" w:hAnsi="Times New Roman"/>
          <w:b/>
          <w:sz w:val="22"/>
          <w:szCs w:val="22"/>
        </w:rPr>
      </w:pPr>
      <w:r>
        <w:rPr>
          <w:rFonts w:ascii="Times New Roman" w:hAnsi="Times New Roman"/>
          <w:b/>
          <w:sz w:val="22"/>
          <w:szCs w:val="22"/>
        </w:rPr>
        <w:t>I.</w:t>
      </w:r>
    </w:p>
    <w:p w14:paraId="60E50C6C" w14:textId="7F027EFA" w:rsidR="009A64AC" w:rsidRDefault="009A64AC" w:rsidP="009A64AC">
      <w:pPr>
        <w:rPr>
          <w:rFonts w:ascii="Times New Roman" w:hAnsi="Times New Roman"/>
          <w:sz w:val="22"/>
          <w:szCs w:val="22"/>
        </w:rPr>
      </w:pPr>
      <w:r>
        <w:rPr>
          <w:rFonts w:ascii="Times New Roman" w:hAnsi="Times New Roman"/>
          <w:sz w:val="22"/>
          <w:szCs w:val="22"/>
        </w:rPr>
        <w:tab/>
        <w:t xml:space="preserve">Donosi se </w:t>
      </w:r>
      <w:r w:rsidR="00450F9A">
        <w:rPr>
          <w:rFonts w:ascii="Times New Roman" w:hAnsi="Times New Roman"/>
          <w:sz w:val="22"/>
          <w:szCs w:val="22"/>
        </w:rPr>
        <w:t xml:space="preserve">Procjena rizika od velikih nesreća na području Općine Mljet </w:t>
      </w:r>
      <w:r>
        <w:rPr>
          <w:rFonts w:ascii="Times New Roman" w:hAnsi="Times New Roman"/>
          <w:sz w:val="22"/>
          <w:szCs w:val="22"/>
        </w:rPr>
        <w:t>(nastavno: P</w:t>
      </w:r>
      <w:r w:rsidR="00450F9A">
        <w:rPr>
          <w:rFonts w:ascii="Times New Roman" w:hAnsi="Times New Roman"/>
          <w:sz w:val="22"/>
          <w:szCs w:val="22"/>
        </w:rPr>
        <w:t>rocjena</w:t>
      </w:r>
      <w:r>
        <w:rPr>
          <w:rFonts w:ascii="Times New Roman" w:hAnsi="Times New Roman"/>
          <w:sz w:val="22"/>
          <w:szCs w:val="22"/>
        </w:rPr>
        <w:t>),.</w:t>
      </w:r>
    </w:p>
    <w:p w14:paraId="4E1A74F5" w14:textId="77777777" w:rsidR="009A64AC" w:rsidRDefault="009A64AC" w:rsidP="009A64AC">
      <w:pPr>
        <w:rPr>
          <w:rFonts w:ascii="Times New Roman" w:hAnsi="Times New Roman"/>
          <w:sz w:val="22"/>
          <w:szCs w:val="22"/>
        </w:rPr>
      </w:pPr>
    </w:p>
    <w:p w14:paraId="6805C028" w14:textId="77777777" w:rsidR="009A64AC" w:rsidRPr="009A64AC" w:rsidRDefault="009A64AC" w:rsidP="009A64AC">
      <w:pPr>
        <w:jc w:val="center"/>
        <w:rPr>
          <w:rFonts w:ascii="Times New Roman" w:hAnsi="Times New Roman"/>
          <w:b/>
          <w:sz w:val="22"/>
          <w:szCs w:val="22"/>
        </w:rPr>
      </w:pPr>
      <w:r w:rsidRPr="009A64AC">
        <w:rPr>
          <w:rFonts w:ascii="Times New Roman" w:hAnsi="Times New Roman"/>
          <w:b/>
          <w:sz w:val="22"/>
          <w:szCs w:val="22"/>
        </w:rPr>
        <w:t>II.</w:t>
      </w:r>
    </w:p>
    <w:p w14:paraId="3FA9A09D" w14:textId="70D576AF" w:rsidR="009A64AC" w:rsidRDefault="009A64AC" w:rsidP="009A64AC">
      <w:pPr>
        <w:rPr>
          <w:rFonts w:ascii="Times New Roman" w:hAnsi="Times New Roman"/>
          <w:sz w:val="22"/>
          <w:szCs w:val="22"/>
        </w:rPr>
      </w:pPr>
      <w:r>
        <w:rPr>
          <w:rFonts w:ascii="Times New Roman" w:hAnsi="Times New Roman"/>
          <w:sz w:val="22"/>
          <w:szCs w:val="22"/>
        </w:rPr>
        <w:tab/>
        <w:t>Elaborat P</w:t>
      </w:r>
      <w:r w:rsidR="00450F9A">
        <w:rPr>
          <w:rFonts w:ascii="Times New Roman" w:hAnsi="Times New Roman"/>
          <w:sz w:val="22"/>
          <w:szCs w:val="22"/>
        </w:rPr>
        <w:t>rocjene</w:t>
      </w:r>
      <w:r>
        <w:rPr>
          <w:rFonts w:ascii="Times New Roman" w:hAnsi="Times New Roman"/>
          <w:sz w:val="22"/>
          <w:szCs w:val="22"/>
        </w:rPr>
        <w:t xml:space="preserve"> iz točke I. ove Odluke njezin je sastavni dio</w:t>
      </w:r>
      <w:r w:rsidR="00E051E2">
        <w:rPr>
          <w:rFonts w:ascii="Times New Roman" w:hAnsi="Times New Roman"/>
          <w:sz w:val="22"/>
          <w:szCs w:val="22"/>
        </w:rPr>
        <w:t xml:space="preserve"> i ne objavljuje se u „Sl</w:t>
      </w:r>
      <w:r w:rsidR="00E54E12">
        <w:rPr>
          <w:rFonts w:ascii="Times New Roman" w:hAnsi="Times New Roman"/>
          <w:sz w:val="22"/>
          <w:szCs w:val="22"/>
        </w:rPr>
        <w:t>užbenom glasniku Općine Mljet“.</w:t>
      </w:r>
    </w:p>
    <w:p w14:paraId="698377F5" w14:textId="77777777" w:rsidR="009A64AC" w:rsidRPr="009A64AC" w:rsidRDefault="009A64AC" w:rsidP="009A64AC">
      <w:pPr>
        <w:jc w:val="center"/>
        <w:rPr>
          <w:rFonts w:ascii="Times New Roman" w:hAnsi="Times New Roman"/>
          <w:b/>
          <w:sz w:val="22"/>
          <w:szCs w:val="22"/>
        </w:rPr>
      </w:pPr>
    </w:p>
    <w:p w14:paraId="739DD26F" w14:textId="77777777" w:rsidR="009A64AC" w:rsidRDefault="009A64AC" w:rsidP="009A64AC">
      <w:pPr>
        <w:jc w:val="center"/>
        <w:rPr>
          <w:rFonts w:ascii="Times New Roman" w:hAnsi="Times New Roman"/>
          <w:b/>
          <w:sz w:val="22"/>
          <w:szCs w:val="22"/>
        </w:rPr>
      </w:pPr>
      <w:r w:rsidRPr="009A64AC">
        <w:rPr>
          <w:rFonts w:ascii="Times New Roman" w:hAnsi="Times New Roman"/>
          <w:b/>
          <w:sz w:val="22"/>
          <w:szCs w:val="22"/>
        </w:rPr>
        <w:t>III.</w:t>
      </w:r>
    </w:p>
    <w:p w14:paraId="04BBE2BD" w14:textId="548065C2" w:rsidR="00A26AA4" w:rsidRDefault="00A26AA4" w:rsidP="00A26AA4">
      <w:pPr>
        <w:rPr>
          <w:rFonts w:ascii="Times New Roman" w:hAnsi="Times New Roman"/>
          <w:bCs/>
          <w:sz w:val="22"/>
          <w:szCs w:val="22"/>
        </w:rPr>
      </w:pPr>
      <w:r w:rsidRPr="00A26AA4">
        <w:rPr>
          <w:rFonts w:ascii="Times New Roman" w:hAnsi="Times New Roman"/>
          <w:bCs/>
          <w:sz w:val="22"/>
          <w:szCs w:val="22"/>
        </w:rPr>
        <w:tab/>
        <w:t>Danom stupanja na snagu ove Odluke prestaje važiti Odluka o usvajanju Procjene rizika od</w:t>
      </w:r>
      <w:r w:rsidRPr="00EE273F">
        <w:rPr>
          <w:rFonts w:ascii="Times New Roman" w:hAnsi="Times New Roman"/>
          <w:bCs/>
          <w:sz w:val="22"/>
          <w:szCs w:val="22"/>
        </w:rPr>
        <w:t xml:space="preserve"> velikih nesreća na području Općine Mljet</w:t>
      </w:r>
      <w:r>
        <w:rPr>
          <w:rFonts w:ascii="Times New Roman" w:hAnsi="Times New Roman"/>
          <w:bCs/>
          <w:sz w:val="22"/>
          <w:szCs w:val="22"/>
        </w:rPr>
        <w:t xml:space="preserve"> („Službeni glasnik Općine Mljet“ broj 10/18).</w:t>
      </w:r>
    </w:p>
    <w:p w14:paraId="3381FE28" w14:textId="77777777" w:rsidR="00A26AA4" w:rsidRDefault="00A26AA4" w:rsidP="00A26AA4">
      <w:pPr>
        <w:rPr>
          <w:rFonts w:ascii="Times New Roman" w:hAnsi="Times New Roman"/>
          <w:b/>
          <w:sz w:val="22"/>
          <w:szCs w:val="22"/>
        </w:rPr>
      </w:pPr>
    </w:p>
    <w:p w14:paraId="2577F844" w14:textId="03BA9B50" w:rsidR="00A26AA4" w:rsidRPr="009A64AC" w:rsidRDefault="00A26AA4" w:rsidP="00A26AA4">
      <w:pPr>
        <w:jc w:val="center"/>
        <w:rPr>
          <w:rFonts w:ascii="Times New Roman" w:hAnsi="Times New Roman"/>
          <w:b/>
          <w:sz w:val="22"/>
          <w:szCs w:val="22"/>
        </w:rPr>
      </w:pPr>
      <w:r>
        <w:rPr>
          <w:rFonts w:ascii="Times New Roman" w:hAnsi="Times New Roman"/>
          <w:b/>
          <w:sz w:val="22"/>
          <w:szCs w:val="22"/>
        </w:rPr>
        <w:t>IV.</w:t>
      </w:r>
    </w:p>
    <w:p w14:paraId="089EE3C3" w14:textId="3322ECB6" w:rsidR="009A64AC" w:rsidRPr="009A64AC" w:rsidRDefault="009A64AC" w:rsidP="009A64AC">
      <w:pPr>
        <w:rPr>
          <w:rFonts w:ascii="Times New Roman" w:hAnsi="Times New Roman"/>
          <w:sz w:val="22"/>
          <w:szCs w:val="22"/>
        </w:rPr>
      </w:pPr>
      <w:r>
        <w:rPr>
          <w:rFonts w:ascii="Times New Roman" w:hAnsi="Times New Roman"/>
          <w:sz w:val="22"/>
          <w:szCs w:val="22"/>
        </w:rPr>
        <w:tab/>
        <w:t xml:space="preserve">Ova Odluka stupa na snagu </w:t>
      </w:r>
      <w:r w:rsidR="00DF36F8">
        <w:rPr>
          <w:rFonts w:ascii="Times New Roman" w:hAnsi="Times New Roman"/>
          <w:sz w:val="22"/>
          <w:szCs w:val="22"/>
        </w:rPr>
        <w:t xml:space="preserve">osmog </w:t>
      </w:r>
      <w:r>
        <w:rPr>
          <w:rFonts w:ascii="Times New Roman" w:hAnsi="Times New Roman"/>
          <w:sz w:val="22"/>
          <w:szCs w:val="22"/>
        </w:rPr>
        <w:t>dan</w:t>
      </w:r>
      <w:r w:rsidR="00DF36F8">
        <w:rPr>
          <w:rFonts w:ascii="Times New Roman" w:hAnsi="Times New Roman"/>
          <w:sz w:val="22"/>
          <w:szCs w:val="22"/>
        </w:rPr>
        <w:t>a</w:t>
      </w:r>
      <w:r>
        <w:rPr>
          <w:rFonts w:ascii="Times New Roman" w:hAnsi="Times New Roman"/>
          <w:sz w:val="22"/>
          <w:szCs w:val="22"/>
        </w:rPr>
        <w:t xml:space="preserve"> </w:t>
      </w:r>
      <w:r w:rsidR="00DF36F8">
        <w:rPr>
          <w:rFonts w:ascii="Times New Roman" w:hAnsi="Times New Roman"/>
          <w:sz w:val="22"/>
          <w:szCs w:val="22"/>
        </w:rPr>
        <w:t>od dana</w:t>
      </w:r>
      <w:r>
        <w:rPr>
          <w:rFonts w:ascii="Times New Roman" w:hAnsi="Times New Roman"/>
          <w:sz w:val="22"/>
          <w:szCs w:val="22"/>
        </w:rPr>
        <w:t xml:space="preserve"> objav</w:t>
      </w:r>
      <w:r w:rsidR="00DF36F8">
        <w:rPr>
          <w:rFonts w:ascii="Times New Roman" w:hAnsi="Times New Roman"/>
          <w:sz w:val="22"/>
          <w:szCs w:val="22"/>
        </w:rPr>
        <w:t>e</w:t>
      </w:r>
      <w:r>
        <w:rPr>
          <w:rFonts w:ascii="Times New Roman" w:hAnsi="Times New Roman"/>
          <w:sz w:val="22"/>
          <w:szCs w:val="22"/>
        </w:rPr>
        <w:t xml:space="preserve"> u „S</w:t>
      </w:r>
      <w:r w:rsidR="00666F9C">
        <w:rPr>
          <w:rFonts w:ascii="Times New Roman" w:hAnsi="Times New Roman"/>
          <w:sz w:val="22"/>
          <w:szCs w:val="22"/>
        </w:rPr>
        <w:t>lužbenom glasniku Općine Mljet“.“</w:t>
      </w:r>
    </w:p>
    <w:p w14:paraId="529477FF" w14:textId="77777777" w:rsidR="00657584" w:rsidRPr="000F3582" w:rsidRDefault="00657584" w:rsidP="00657584">
      <w:pPr>
        <w:rPr>
          <w:rFonts w:ascii="Times New Roman" w:hAnsi="Times New Roman"/>
          <w:sz w:val="22"/>
          <w:szCs w:val="22"/>
        </w:rPr>
      </w:pPr>
    </w:p>
    <w:p w14:paraId="24CC4868" w14:textId="77777777" w:rsidR="00657584" w:rsidRPr="000F3582" w:rsidRDefault="00657584" w:rsidP="00657584">
      <w:pPr>
        <w:jc w:val="center"/>
        <w:rPr>
          <w:rFonts w:ascii="Times New Roman" w:hAnsi="Times New Roman"/>
          <w:b/>
          <w:sz w:val="22"/>
          <w:szCs w:val="22"/>
        </w:rPr>
      </w:pPr>
      <w:r w:rsidRPr="000F3582">
        <w:rPr>
          <w:rFonts w:ascii="Times New Roman" w:hAnsi="Times New Roman"/>
          <w:b/>
          <w:sz w:val="22"/>
          <w:szCs w:val="22"/>
        </w:rPr>
        <w:t>II.</w:t>
      </w:r>
    </w:p>
    <w:p w14:paraId="16B3EC26" w14:textId="472BD807" w:rsidR="00657584" w:rsidRDefault="00657584" w:rsidP="00657584">
      <w:pPr>
        <w:rPr>
          <w:rFonts w:ascii="Times New Roman" w:hAnsi="Times New Roman"/>
          <w:sz w:val="22"/>
          <w:szCs w:val="22"/>
        </w:rPr>
      </w:pPr>
      <w:r w:rsidRPr="000F3582">
        <w:rPr>
          <w:rFonts w:ascii="Times New Roman" w:hAnsi="Times New Roman"/>
          <w:sz w:val="22"/>
          <w:szCs w:val="22"/>
        </w:rPr>
        <w:tab/>
        <w:t>Ovaj prijedlog upućuje se na donošenje Općinskom vijeću Općine Mljet.</w:t>
      </w:r>
    </w:p>
    <w:p w14:paraId="7140C46D" w14:textId="77777777" w:rsidR="00A26AA4" w:rsidRPr="000F3582" w:rsidRDefault="00A26AA4" w:rsidP="00657584">
      <w:pPr>
        <w:rPr>
          <w:rFonts w:ascii="Times New Roman" w:hAnsi="Times New Roman"/>
          <w:sz w:val="22"/>
          <w:szCs w:val="22"/>
        </w:rPr>
      </w:pPr>
    </w:p>
    <w:p w14:paraId="0F772CAC" w14:textId="77777777" w:rsidR="00657584" w:rsidRPr="000F3582" w:rsidRDefault="00657584" w:rsidP="00657584">
      <w:pPr>
        <w:jc w:val="center"/>
        <w:rPr>
          <w:rFonts w:ascii="Times New Roman" w:hAnsi="Times New Roman"/>
          <w:b/>
          <w:sz w:val="22"/>
          <w:szCs w:val="22"/>
        </w:rPr>
      </w:pPr>
      <w:r w:rsidRPr="000F3582">
        <w:rPr>
          <w:rFonts w:ascii="Times New Roman" w:hAnsi="Times New Roman"/>
          <w:b/>
          <w:sz w:val="22"/>
          <w:szCs w:val="22"/>
        </w:rPr>
        <w:t>III.</w:t>
      </w:r>
    </w:p>
    <w:p w14:paraId="69F9852B" w14:textId="77777777" w:rsidR="00657584" w:rsidRPr="000F3582" w:rsidRDefault="00657584" w:rsidP="00657584">
      <w:pPr>
        <w:rPr>
          <w:rFonts w:ascii="Times New Roman" w:hAnsi="Times New Roman"/>
          <w:sz w:val="22"/>
          <w:szCs w:val="22"/>
        </w:rPr>
      </w:pPr>
      <w:r w:rsidRPr="000F3582">
        <w:rPr>
          <w:rFonts w:ascii="Times New Roman" w:hAnsi="Times New Roman"/>
          <w:sz w:val="22"/>
          <w:szCs w:val="22"/>
        </w:rPr>
        <w:tab/>
        <w:t>Ovaj Zaključak stupa na snagu danom donošenja.</w:t>
      </w:r>
    </w:p>
    <w:p w14:paraId="2476B5CA" w14:textId="77777777" w:rsidR="00657584" w:rsidRDefault="00657584" w:rsidP="00657584">
      <w:pPr>
        <w:rPr>
          <w:rFonts w:ascii="Times New Roman" w:hAnsi="Times New Roman"/>
          <w:sz w:val="22"/>
          <w:szCs w:val="22"/>
        </w:rPr>
      </w:pPr>
    </w:p>
    <w:p w14:paraId="03A969B4" w14:textId="77777777" w:rsidR="00450F9A" w:rsidRDefault="00450F9A" w:rsidP="00657584">
      <w:pPr>
        <w:rPr>
          <w:rFonts w:ascii="Times New Roman" w:hAnsi="Times New Roman"/>
          <w:sz w:val="22"/>
          <w:szCs w:val="22"/>
        </w:rPr>
      </w:pPr>
    </w:p>
    <w:p w14:paraId="251B29A9" w14:textId="77777777" w:rsidR="00450F9A" w:rsidRPr="000F3582" w:rsidRDefault="00450F9A" w:rsidP="00657584">
      <w:pPr>
        <w:rPr>
          <w:rFonts w:ascii="Times New Roman" w:hAnsi="Times New Roman"/>
          <w:sz w:val="22"/>
          <w:szCs w:val="22"/>
        </w:rPr>
      </w:pPr>
    </w:p>
    <w:p w14:paraId="7928C0D3" w14:textId="77777777" w:rsidR="00657584" w:rsidRPr="000F3582" w:rsidRDefault="00657584" w:rsidP="00657584">
      <w:pPr>
        <w:rPr>
          <w:rFonts w:ascii="Times New Roman" w:hAnsi="Times New Roman"/>
          <w:sz w:val="22"/>
          <w:szCs w:val="22"/>
        </w:rPr>
      </w:pPr>
      <w:r w:rsidRPr="000F3582">
        <w:rPr>
          <w:rFonts w:ascii="Times New Roman" w:hAnsi="Times New Roman"/>
          <w:sz w:val="22"/>
          <w:szCs w:val="22"/>
        </w:rPr>
        <w:tab/>
        <w:t>Dostaviti:</w:t>
      </w:r>
      <w:r w:rsidRPr="000F3582">
        <w:rPr>
          <w:rFonts w:ascii="Times New Roman" w:hAnsi="Times New Roman"/>
          <w:sz w:val="22"/>
          <w:szCs w:val="22"/>
        </w:rPr>
        <w:tab/>
      </w:r>
      <w:r w:rsidRPr="000F3582">
        <w:rPr>
          <w:rFonts w:ascii="Times New Roman" w:hAnsi="Times New Roman"/>
          <w:sz w:val="22"/>
          <w:szCs w:val="22"/>
        </w:rPr>
        <w:tab/>
      </w:r>
      <w:r w:rsidRPr="000F3582">
        <w:rPr>
          <w:rFonts w:ascii="Times New Roman" w:hAnsi="Times New Roman"/>
          <w:sz w:val="22"/>
          <w:szCs w:val="22"/>
        </w:rPr>
        <w:tab/>
      </w:r>
      <w:r w:rsidRPr="000F3582">
        <w:rPr>
          <w:rFonts w:ascii="Times New Roman" w:hAnsi="Times New Roman"/>
          <w:sz w:val="22"/>
          <w:szCs w:val="22"/>
        </w:rPr>
        <w:tab/>
      </w:r>
      <w:r w:rsidRPr="000F3582">
        <w:rPr>
          <w:rFonts w:ascii="Times New Roman" w:hAnsi="Times New Roman"/>
          <w:sz w:val="22"/>
          <w:szCs w:val="22"/>
        </w:rPr>
        <w:tab/>
      </w:r>
      <w:r w:rsidRPr="000F3582">
        <w:rPr>
          <w:rFonts w:ascii="Times New Roman" w:hAnsi="Times New Roman"/>
          <w:sz w:val="22"/>
          <w:szCs w:val="22"/>
        </w:rPr>
        <w:tab/>
        <w:t>Općinski načelnik:</w:t>
      </w:r>
    </w:p>
    <w:p w14:paraId="2B7A5291" w14:textId="77777777" w:rsidR="00657584" w:rsidRPr="000F3582" w:rsidRDefault="00657584" w:rsidP="00657584">
      <w:pPr>
        <w:ind w:firstLine="720"/>
        <w:rPr>
          <w:rFonts w:ascii="Times New Roman" w:hAnsi="Times New Roman"/>
          <w:sz w:val="22"/>
          <w:szCs w:val="22"/>
        </w:rPr>
      </w:pPr>
      <w:r w:rsidRPr="000F3582">
        <w:rPr>
          <w:rFonts w:ascii="Times New Roman" w:hAnsi="Times New Roman"/>
          <w:sz w:val="22"/>
          <w:szCs w:val="22"/>
        </w:rPr>
        <w:t>1. Predsjednik OV-a</w:t>
      </w:r>
    </w:p>
    <w:p w14:paraId="7065900B" w14:textId="0353F3A4" w:rsidR="00242C76" w:rsidRPr="000F3582" w:rsidRDefault="00657584" w:rsidP="00242C76">
      <w:pPr>
        <w:ind w:firstLine="720"/>
        <w:rPr>
          <w:rFonts w:ascii="Times New Roman" w:hAnsi="Times New Roman"/>
          <w:sz w:val="22"/>
          <w:szCs w:val="22"/>
        </w:rPr>
      </w:pPr>
      <w:r w:rsidRPr="000F3582">
        <w:rPr>
          <w:rFonts w:ascii="Times New Roman" w:hAnsi="Times New Roman"/>
          <w:sz w:val="22"/>
          <w:szCs w:val="22"/>
        </w:rPr>
        <w:t>2. Registar akata</w:t>
      </w:r>
      <w:r w:rsidRPr="000F3582">
        <w:rPr>
          <w:rFonts w:ascii="Times New Roman" w:hAnsi="Times New Roman"/>
          <w:sz w:val="22"/>
          <w:szCs w:val="22"/>
        </w:rPr>
        <w:tab/>
      </w:r>
      <w:r w:rsidRPr="000F3582">
        <w:rPr>
          <w:rFonts w:ascii="Times New Roman" w:hAnsi="Times New Roman"/>
          <w:sz w:val="22"/>
          <w:szCs w:val="22"/>
        </w:rPr>
        <w:tab/>
      </w:r>
      <w:r w:rsidRPr="000F3582">
        <w:rPr>
          <w:rFonts w:ascii="Times New Roman" w:hAnsi="Times New Roman"/>
          <w:sz w:val="22"/>
          <w:szCs w:val="22"/>
        </w:rPr>
        <w:tab/>
      </w:r>
      <w:r w:rsidRPr="000F3582">
        <w:rPr>
          <w:rFonts w:ascii="Times New Roman" w:hAnsi="Times New Roman"/>
          <w:sz w:val="22"/>
          <w:szCs w:val="22"/>
        </w:rPr>
        <w:tab/>
      </w:r>
      <w:r w:rsidRPr="000F3582">
        <w:rPr>
          <w:rFonts w:ascii="Times New Roman" w:hAnsi="Times New Roman"/>
          <w:sz w:val="22"/>
          <w:szCs w:val="22"/>
        </w:rPr>
        <w:tab/>
        <w:t>Đivo Market, dipl. ing.</w:t>
      </w:r>
    </w:p>
    <w:p w14:paraId="648B7FB9" w14:textId="77777777" w:rsidR="00242C76" w:rsidRDefault="00657584" w:rsidP="00657584">
      <w:pPr>
        <w:ind w:firstLine="720"/>
        <w:rPr>
          <w:rFonts w:ascii="Times New Roman" w:hAnsi="Times New Roman"/>
          <w:sz w:val="22"/>
          <w:szCs w:val="22"/>
        </w:rPr>
      </w:pPr>
      <w:r w:rsidRPr="000F3582">
        <w:rPr>
          <w:rFonts w:ascii="Times New Roman" w:hAnsi="Times New Roman"/>
          <w:sz w:val="22"/>
          <w:szCs w:val="22"/>
        </w:rPr>
        <w:t>3. Pismohrana</w:t>
      </w:r>
      <w:r w:rsidRPr="000F3582">
        <w:rPr>
          <w:rFonts w:ascii="Times New Roman" w:hAnsi="Times New Roman"/>
          <w:sz w:val="22"/>
          <w:szCs w:val="22"/>
        </w:rPr>
        <w:tab/>
      </w:r>
    </w:p>
    <w:p w14:paraId="37EA0578" w14:textId="77777777" w:rsidR="00242C76" w:rsidRDefault="00242C76" w:rsidP="00242C76">
      <w:pPr>
        <w:rPr>
          <w:rFonts w:ascii="Times New Roman" w:hAnsi="Times New Roman"/>
          <w:sz w:val="22"/>
          <w:szCs w:val="22"/>
        </w:rPr>
      </w:pPr>
    </w:p>
    <w:p w14:paraId="6CDFCA37" w14:textId="77777777" w:rsidR="00242C76" w:rsidRDefault="00242C76" w:rsidP="00242C76">
      <w:pPr>
        <w:rPr>
          <w:rFonts w:ascii="Times New Roman" w:hAnsi="Times New Roman"/>
          <w:sz w:val="22"/>
          <w:szCs w:val="22"/>
        </w:rPr>
      </w:pPr>
    </w:p>
    <w:p w14:paraId="7F5EC4DB" w14:textId="74DBECE8" w:rsidR="00242C76" w:rsidRPr="00242C76" w:rsidRDefault="00242C76" w:rsidP="00242C76">
      <w:pPr>
        <w:pStyle w:val="Title"/>
        <w:jc w:val="center"/>
        <w:rPr>
          <w:rFonts w:cs="Times New Roman"/>
          <w:sz w:val="22"/>
          <w:szCs w:val="22"/>
        </w:rPr>
      </w:pPr>
      <w:r w:rsidRPr="00242C76">
        <w:rPr>
          <w:rFonts w:cs="Times New Roman"/>
          <w:sz w:val="22"/>
          <w:szCs w:val="22"/>
        </w:rPr>
        <w:t>O</w:t>
      </w:r>
      <w:r>
        <w:rPr>
          <w:rFonts w:cs="Times New Roman"/>
          <w:sz w:val="22"/>
          <w:szCs w:val="22"/>
        </w:rPr>
        <w:t xml:space="preserve">  </w:t>
      </w:r>
      <w:r w:rsidRPr="00242C76">
        <w:rPr>
          <w:rFonts w:cs="Times New Roman"/>
          <w:sz w:val="22"/>
          <w:szCs w:val="22"/>
        </w:rPr>
        <w:t>b</w:t>
      </w:r>
      <w:r>
        <w:rPr>
          <w:rFonts w:cs="Times New Roman"/>
          <w:sz w:val="22"/>
          <w:szCs w:val="22"/>
        </w:rPr>
        <w:t xml:space="preserve">  </w:t>
      </w:r>
      <w:r w:rsidRPr="00242C76">
        <w:rPr>
          <w:rFonts w:cs="Times New Roman"/>
          <w:sz w:val="22"/>
          <w:szCs w:val="22"/>
        </w:rPr>
        <w:t>r</w:t>
      </w:r>
      <w:r>
        <w:rPr>
          <w:rFonts w:cs="Times New Roman"/>
          <w:sz w:val="22"/>
          <w:szCs w:val="22"/>
        </w:rPr>
        <w:t xml:space="preserve">  </w:t>
      </w:r>
      <w:r w:rsidRPr="00242C76">
        <w:rPr>
          <w:rFonts w:cs="Times New Roman"/>
          <w:sz w:val="22"/>
          <w:szCs w:val="22"/>
        </w:rPr>
        <w:t>a</w:t>
      </w:r>
      <w:r>
        <w:rPr>
          <w:rFonts w:cs="Times New Roman"/>
          <w:sz w:val="22"/>
          <w:szCs w:val="22"/>
        </w:rPr>
        <w:t xml:space="preserve">  </w:t>
      </w:r>
      <w:r w:rsidRPr="00242C76">
        <w:rPr>
          <w:rFonts w:cs="Times New Roman"/>
          <w:sz w:val="22"/>
          <w:szCs w:val="22"/>
        </w:rPr>
        <w:t>z</w:t>
      </w:r>
      <w:r>
        <w:rPr>
          <w:rFonts w:cs="Times New Roman"/>
          <w:sz w:val="22"/>
          <w:szCs w:val="22"/>
        </w:rPr>
        <w:t xml:space="preserve">  </w:t>
      </w:r>
      <w:r w:rsidRPr="00242C76">
        <w:rPr>
          <w:rFonts w:cs="Times New Roman"/>
          <w:sz w:val="22"/>
          <w:szCs w:val="22"/>
        </w:rPr>
        <w:t>l</w:t>
      </w:r>
      <w:r>
        <w:rPr>
          <w:rFonts w:cs="Times New Roman"/>
          <w:sz w:val="22"/>
          <w:szCs w:val="22"/>
        </w:rPr>
        <w:t xml:space="preserve">  </w:t>
      </w:r>
      <w:r w:rsidRPr="00242C76">
        <w:rPr>
          <w:rFonts w:cs="Times New Roman"/>
          <w:sz w:val="22"/>
          <w:szCs w:val="22"/>
        </w:rPr>
        <w:t>o</w:t>
      </w:r>
      <w:r>
        <w:rPr>
          <w:rFonts w:cs="Times New Roman"/>
          <w:sz w:val="22"/>
          <w:szCs w:val="22"/>
        </w:rPr>
        <w:t xml:space="preserve">  </w:t>
      </w:r>
      <w:r w:rsidRPr="00242C76">
        <w:rPr>
          <w:rFonts w:cs="Times New Roman"/>
          <w:sz w:val="22"/>
          <w:szCs w:val="22"/>
        </w:rPr>
        <w:t>ž</w:t>
      </w:r>
      <w:r>
        <w:rPr>
          <w:rFonts w:cs="Times New Roman"/>
          <w:sz w:val="22"/>
          <w:szCs w:val="22"/>
        </w:rPr>
        <w:t xml:space="preserve">  </w:t>
      </w:r>
      <w:r w:rsidRPr="00242C76">
        <w:rPr>
          <w:rFonts w:cs="Times New Roman"/>
          <w:sz w:val="22"/>
          <w:szCs w:val="22"/>
        </w:rPr>
        <w:t>e</w:t>
      </w:r>
      <w:r>
        <w:rPr>
          <w:rFonts w:cs="Times New Roman"/>
          <w:sz w:val="22"/>
          <w:szCs w:val="22"/>
        </w:rPr>
        <w:t xml:space="preserve">  </w:t>
      </w:r>
      <w:r w:rsidRPr="00242C76">
        <w:rPr>
          <w:rFonts w:cs="Times New Roman"/>
          <w:sz w:val="22"/>
          <w:szCs w:val="22"/>
        </w:rPr>
        <w:t>nj</w:t>
      </w:r>
      <w:r>
        <w:rPr>
          <w:rFonts w:cs="Times New Roman"/>
          <w:sz w:val="22"/>
          <w:szCs w:val="22"/>
        </w:rPr>
        <w:t xml:space="preserve">  </w:t>
      </w:r>
      <w:r w:rsidRPr="00242C76">
        <w:rPr>
          <w:rFonts w:cs="Times New Roman"/>
          <w:sz w:val="22"/>
          <w:szCs w:val="22"/>
        </w:rPr>
        <w:t>e</w:t>
      </w:r>
    </w:p>
    <w:p w14:paraId="71B2F44D" w14:textId="631A9F3E" w:rsidR="00242C76" w:rsidRPr="00242C76" w:rsidRDefault="00242C76" w:rsidP="00242C76">
      <w:pPr>
        <w:pStyle w:val="Heading1"/>
        <w:ind w:firstLine="720"/>
        <w:rPr>
          <w:rFonts w:cs="Times New Roman"/>
          <w:sz w:val="22"/>
          <w:szCs w:val="22"/>
        </w:rPr>
      </w:pPr>
      <w:r w:rsidRPr="00242C76">
        <w:rPr>
          <w:rFonts w:cs="Times New Roman"/>
          <w:sz w:val="22"/>
          <w:szCs w:val="22"/>
        </w:rPr>
        <w:t>1</w:t>
      </w:r>
      <w:r>
        <w:rPr>
          <w:rFonts w:cs="Times New Roman"/>
          <w:sz w:val="22"/>
          <w:szCs w:val="22"/>
        </w:rPr>
        <w:t>.</w:t>
      </w:r>
      <w:r w:rsidRPr="00242C76">
        <w:rPr>
          <w:rFonts w:cs="Times New Roman"/>
          <w:sz w:val="22"/>
          <w:szCs w:val="22"/>
        </w:rPr>
        <w:t xml:space="preserve">  Predmet i razlog donošenja</w:t>
      </w:r>
    </w:p>
    <w:p w14:paraId="795319CB"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Općinskom vijeću predlaže se donošenje Procjene rizika od velikih nesreća na području Općine Mljet, izrađene u listopadu 2026. godine. Procjena je stručna podloga za određivanje prioriteta zaštite stanovništva, materijalnih i kulturnih dobara te okoliša, usklađivanje operativnih planova i usmjeravanje proračunskih sredstava prema utvrđenim potrebama.</w:t>
      </w:r>
    </w:p>
    <w:p w14:paraId="04116946"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Prema dostavljenom prijedlogu, nova Odluka zamjenjuje Odluku o usvajanju Procjene objavljenu u „Službenom glasniku Općine Mljet“ broj 10/18. Potreba donošenja proizlazi iz vremenskog odmaka od prethodne procjene, novijih demografskih podataka i potrebe da se raspoložive snage i mjere zaštite sagledaju prema sadašnjim okolnostima na otoku.</w:t>
      </w:r>
    </w:p>
    <w:p w14:paraId="2B0064E5" w14:textId="38489904" w:rsidR="00242C76" w:rsidRPr="00242C76" w:rsidRDefault="00242C76" w:rsidP="00242C76">
      <w:pPr>
        <w:pStyle w:val="Heading1"/>
        <w:ind w:firstLine="720"/>
        <w:rPr>
          <w:rFonts w:cs="Times New Roman"/>
          <w:sz w:val="22"/>
          <w:szCs w:val="22"/>
        </w:rPr>
      </w:pPr>
      <w:r w:rsidRPr="00242C76">
        <w:rPr>
          <w:rFonts w:cs="Times New Roman"/>
          <w:sz w:val="22"/>
          <w:szCs w:val="22"/>
        </w:rPr>
        <w:t>2</w:t>
      </w:r>
      <w:r>
        <w:rPr>
          <w:rFonts w:cs="Times New Roman"/>
          <w:sz w:val="22"/>
          <w:szCs w:val="22"/>
        </w:rPr>
        <w:t>.</w:t>
      </w:r>
      <w:r w:rsidRPr="00242C76">
        <w:rPr>
          <w:rFonts w:cs="Times New Roman"/>
          <w:sz w:val="22"/>
          <w:szCs w:val="22"/>
        </w:rPr>
        <w:t xml:space="preserve">  Pravna osnova i postupak pripreme</w:t>
      </w:r>
    </w:p>
    <w:p w14:paraId="492B5D16"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Neposredna pravna osnova za donošenje jest članak 17. stavak 1. podstavak 2. Zakona o sustavu civilne zaštite („Narodne novine“ broj 82/15, 118/18, 31/20, 20/21 i 114/22), kojim je donošenje procjene povjereno predstavničkom tijelu na prijedlog izvršnog tijela. Sadržaj i izrada uređeni su Pravilnikom o smjernicama za izradu procjena rizika od katastrofa i velikih nesreća za područje Republike Hrvatske i jedinica lokalne i područne (regionalne) samouprave („Narodne novine“ broj 65/16).</w:t>
      </w:r>
    </w:p>
    <w:p w14:paraId="1F9F022A"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Prema elaboratu, primijenjene su Smjernice Dubrovačko-neretvanske županije od 14. veljače 2017. godine. Postupak izrade i radna skupina određeni su Odlukom načelnika od 5. lipnja 2025. godine, KLASA: 240-03/25-01/04, URBROJ: 2117-03-25-1. U izradi je kao stručni konzultant sudjelovalo društvo Planovi i Procjene j.d.o.o. iz Varaždina. Načelnik je prijedlog Odluke utvrdio Zaključkom od 16. listopada 2026., URBROJ: 2117-03-26-2.</w:t>
      </w:r>
    </w:p>
    <w:p w14:paraId="3222D1B0"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Procjena predstavlja plansku i analitičku osnovu. Njezino donošenje samo po sebi ne provodi nabavu opreme, ne preraspoređuje sredstva i ne zamjenjuje pojedinačne organizacijske odluke potrebne za provedbu.</w:t>
      </w:r>
    </w:p>
    <w:p w14:paraId="47562213" w14:textId="573F73C1" w:rsidR="00242C76" w:rsidRPr="00242C76" w:rsidRDefault="00242C76" w:rsidP="00242C76">
      <w:pPr>
        <w:pStyle w:val="Heading1"/>
        <w:ind w:firstLine="720"/>
        <w:rPr>
          <w:rFonts w:cs="Times New Roman"/>
          <w:sz w:val="22"/>
          <w:szCs w:val="22"/>
        </w:rPr>
      </w:pPr>
      <w:r w:rsidRPr="00242C76">
        <w:rPr>
          <w:rFonts w:cs="Times New Roman"/>
          <w:sz w:val="22"/>
          <w:szCs w:val="22"/>
        </w:rPr>
        <w:t>3</w:t>
      </w:r>
      <w:r>
        <w:rPr>
          <w:rFonts w:cs="Times New Roman"/>
          <w:sz w:val="22"/>
          <w:szCs w:val="22"/>
        </w:rPr>
        <w:t>.</w:t>
      </w:r>
      <w:r w:rsidRPr="00242C76">
        <w:rPr>
          <w:rFonts w:cs="Times New Roman"/>
          <w:sz w:val="22"/>
          <w:szCs w:val="22"/>
        </w:rPr>
        <w:t xml:space="preserve">  Posebnosti područja i način vrednovanja rizika</w:t>
      </w:r>
    </w:p>
    <w:p w14:paraId="4E660AF1"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Procjena polazi od 1.062 stanovnika i 486 kućanstava prema Popisu 2021. godine. U skupini od 60 i više godina nalazi se 418 stanovnika, odnosno 39,37 %. Takva dobna struktura opravdava posebnu pripremu pomoći starijim osobama, osobama smanjene pokretljivosti i drugim ranjivim skupinama, osobito pri evakuaciji, zbrinjavanju i opskrbi lijekovima.</w:t>
      </w:r>
    </w:p>
    <w:p w14:paraId="3BBEA9CD"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Za praktičnu primjenu ključni su otočni položaj, razmještaj naselja, ovisnost o prometnim vezama i mogućnost odgođenog dolaska pomoći s kopna. Sezonsko povećanje broja osoba na otoku zahtijeva planiranje kapaciteta i obavješćivanja koje obuhvaća i posjetitelje. Prekid prometa, opskrbe električnom energijom, vodom ili komunikacijama može dodatno otežati odgovor na početnu nesreću.</w:t>
      </w:r>
    </w:p>
    <w:p w14:paraId="1C84E6AE"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Procjena obrađuje potres, ekstremne visoke temperature, epidemije i pandemije te požar otvorenog prostora. Razmatra vjerojatnost događaja i posljedice za život i zdravlje ljudi, gospodarstvo te društvenu stabilnost i politiku. Ocjene su planski pokazatelji zasnovani na scenarijima, a ne predviđanje točnog vremena, broja žrtava ili stvarnog iznosa buduće štete.</w:t>
      </w:r>
    </w:p>
    <w:p w14:paraId="31926672" w14:textId="421EA7E1" w:rsidR="00242C76" w:rsidRDefault="00242C76" w:rsidP="00242C76">
      <w:pPr>
        <w:pStyle w:val="Heading1"/>
        <w:ind w:firstLine="720"/>
        <w:rPr>
          <w:rFonts w:cs="Times New Roman"/>
          <w:sz w:val="22"/>
          <w:szCs w:val="22"/>
        </w:rPr>
      </w:pPr>
      <w:r w:rsidRPr="00242C76">
        <w:rPr>
          <w:rFonts w:cs="Times New Roman"/>
          <w:sz w:val="22"/>
          <w:szCs w:val="22"/>
        </w:rPr>
        <w:lastRenderedPageBreak/>
        <w:t>4</w:t>
      </w:r>
      <w:r>
        <w:rPr>
          <w:rFonts w:cs="Times New Roman"/>
          <w:sz w:val="22"/>
          <w:szCs w:val="22"/>
        </w:rPr>
        <w:t>.</w:t>
      </w:r>
      <w:r w:rsidRPr="00242C76">
        <w:rPr>
          <w:rFonts w:cs="Times New Roman"/>
          <w:sz w:val="22"/>
          <w:szCs w:val="22"/>
        </w:rPr>
        <w:t xml:space="preserve">  Ključni rezultati procjene</w:t>
      </w:r>
    </w:p>
    <w:p w14:paraId="06326AFF" w14:textId="77777777" w:rsidR="00242C76" w:rsidRPr="00242C76" w:rsidRDefault="00242C76" w:rsidP="00242C76">
      <w:pPr>
        <w:rPr>
          <w:lang w:val="en-US"/>
        </w:rPr>
      </w:pPr>
    </w:p>
    <w:tbl>
      <w:tblPr>
        <w:tblW w:w="0" w:type="auto"/>
        <w:tblLayout w:type="fixed"/>
        <w:tblLook w:val="04A0" w:firstRow="1" w:lastRow="0" w:firstColumn="1" w:lastColumn="0" w:noHBand="0" w:noVBand="1"/>
      </w:tblPr>
      <w:tblGrid>
        <w:gridCol w:w="2835"/>
        <w:gridCol w:w="1984"/>
        <w:gridCol w:w="850"/>
        <w:gridCol w:w="3515"/>
      </w:tblGrid>
      <w:tr w:rsidR="00242C76" w:rsidRPr="00242C76" w14:paraId="7E51983B" w14:textId="77777777" w:rsidTr="00A7784F">
        <w:tc>
          <w:tcPr>
            <w:tcW w:w="2835" w:type="dxa"/>
            <w:tcBorders>
              <w:top w:val="single" w:sz="4" w:space="0" w:color="D9D9D9"/>
              <w:left w:val="single" w:sz="4" w:space="0" w:color="D9D9D9"/>
              <w:bottom w:val="single" w:sz="4" w:space="0" w:color="D9D9D9"/>
              <w:right w:val="single" w:sz="4" w:space="0" w:color="D9D9D9"/>
            </w:tcBorders>
            <w:shd w:val="clear" w:color="auto" w:fill="EAEAEA"/>
          </w:tcPr>
          <w:p w14:paraId="5870F6F5" w14:textId="77777777" w:rsidR="00242C76" w:rsidRPr="00242C76" w:rsidRDefault="00242C76" w:rsidP="00A7784F">
            <w:pPr>
              <w:rPr>
                <w:rFonts w:ascii="Times New Roman" w:hAnsi="Times New Roman"/>
                <w:sz w:val="22"/>
                <w:szCs w:val="22"/>
              </w:rPr>
            </w:pPr>
            <w:r w:rsidRPr="00242C76">
              <w:rPr>
                <w:rFonts w:ascii="Times New Roman" w:hAnsi="Times New Roman"/>
                <w:b/>
                <w:sz w:val="22"/>
                <w:szCs w:val="22"/>
              </w:rPr>
              <w:t>Rizik</w:t>
            </w:r>
          </w:p>
        </w:tc>
        <w:tc>
          <w:tcPr>
            <w:tcW w:w="1984" w:type="dxa"/>
            <w:tcBorders>
              <w:top w:val="single" w:sz="4" w:space="0" w:color="D9D9D9"/>
              <w:left w:val="single" w:sz="4" w:space="0" w:color="D9D9D9"/>
              <w:bottom w:val="single" w:sz="4" w:space="0" w:color="D9D9D9"/>
              <w:right w:val="single" w:sz="4" w:space="0" w:color="D9D9D9"/>
            </w:tcBorders>
            <w:shd w:val="clear" w:color="auto" w:fill="EAEAEA"/>
          </w:tcPr>
          <w:p w14:paraId="00BF0327" w14:textId="77777777" w:rsidR="00242C76" w:rsidRPr="00242C76" w:rsidRDefault="00242C76" w:rsidP="00A7784F">
            <w:pPr>
              <w:rPr>
                <w:rFonts w:ascii="Times New Roman" w:hAnsi="Times New Roman"/>
                <w:sz w:val="22"/>
                <w:szCs w:val="22"/>
              </w:rPr>
            </w:pPr>
            <w:r w:rsidRPr="00242C76">
              <w:rPr>
                <w:rFonts w:ascii="Times New Roman" w:hAnsi="Times New Roman"/>
                <w:b/>
                <w:sz w:val="22"/>
                <w:szCs w:val="22"/>
              </w:rPr>
              <w:t>Ocjene scenarija¹</w:t>
            </w:r>
          </w:p>
        </w:tc>
        <w:tc>
          <w:tcPr>
            <w:tcW w:w="850" w:type="dxa"/>
            <w:tcBorders>
              <w:top w:val="single" w:sz="4" w:space="0" w:color="D9D9D9"/>
              <w:left w:val="single" w:sz="4" w:space="0" w:color="D9D9D9"/>
              <w:bottom w:val="single" w:sz="4" w:space="0" w:color="D9D9D9"/>
              <w:right w:val="single" w:sz="4" w:space="0" w:color="D9D9D9"/>
            </w:tcBorders>
            <w:shd w:val="clear" w:color="auto" w:fill="EAEAEA"/>
          </w:tcPr>
          <w:p w14:paraId="3AE8A318" w14:textId="77777777" w:rsidR="00242C76" w:rsidRPr="00242C76" w:rsidRDefault="00242C76" w:rsidP="00A7784F">
            <w:pPr>
              <w:rPr>
                <w:rFonts w:ascii="Times New Roman" w:hAnsi="Times New Roman"/>
                <w:sz w:val="22"/>
                <w:szCs w:val="22"/>
              </w:rPr>
            </w:pPr>
            <w:r w:rsidRPr="00242C76">
              <w:rPr>
                <w:rFonts w:ascii="Times New Roman" w:hAnsi="Times New Roman"/>
                <w:b/>
                <w:sz w:val="22"/>
                <w:szCs w:val="22"/>
              </w:rPr>
              <w:t>Zbroj</w:t>
            </w:r>
          </w:p>
        </w:tc>
        <w:tc>
          <w:tcPr>
            <w:tcW w:w="3515" w:type="dxa"/>
            <w:tcBorders>
              <w:top w:val="single" w:sz="4" w:space="0" w:color="D9D9D9"/>
              <w:left w:val="single" w:sz="4" w:space="0" w:color="D9D9D9"/>
              <w:bottom w:val="single" w:sz="4" w:space="0" w:color="D9D9D9"/>
              <w:right w:val="single" w:sz="4" w:space="0" w:color="D9D9D9"/>
            </w:tcBorders>
            <w:shd w:val="clear" w:color="auto" w:fill="EAEAEA"/>
          </w:tcPr>
          <w:p w14:paraId="09C5A4D8" w14:textId="77777777" w:rsidR="00242C76" w:rsidRPr="00242C76" w:rsidRDefault="00242C76" w:rsidP="00A7784F">
            <w:pPr>
              <w:rPr>
                <w:rFonts w:ascii="Times New Roman" w:hAnsi="Times New Roman"/>
                <w:sz w:val="22"/>
                <w:szCs w:val="22"/>
              </w:rPr>
            </w:pPr>
            <w:r w:rsidRPr="00242C76">
              <w:rPr>
                <w:rFonts w:ascii="Times New Roman" w:hAnsi="Times New Roman"/>
                <w:b/>
                <w:sz w:val="22"/>
                <w:szCs w:val="22"/>
              </w:rPr>
              <w:t>Prihvatljivost</w:t>
            </w:r>
          </w:p>
        </w:tc>
      </w:tr>
      <w:tr w:rsidR="00242C76" w:rsidRPr="00242C76" w14:paraId="437ED5D5" w14:textId="77777777" w:rsidTr="00A7784F">
        <w:tc>
          <w:tcPr>
            <w:tcW w:w="2835" w:type="dxa"/>
            <w:tcBorders>
              <w:top w:val="single" w:sz="4" w:space="0" w:color="D9D9D9"/>
              <w:left w:val="single" w:sz="4" w:space="0" w:color="D9D9D9"/>
              <w:bottom w:val="single" w:sz="4" w:space="0" w:color="D9D9D9"/>
              <w:right w:val="single" w:sz="4" w:space="0" w:color="D9D9D9"/>
            </w:tcBorders>
          </w:tcPr>
          <w:p w14:paraId="1B49FE41"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Potres</w:t>
            </w:r>
          </w:p>
        </w:tc>
        <w:tc>
          <w:tcPr>
            <w:tcW w:w="1984" w:type="dxa"/>
            <w:tcBorders>
              <w:top w:val="single" w:sz="4" w:space="0" w:color="D9D9D9"/>
              <w:left w:val="single" w:sz="4" w:space="0" w:color="D9D9D9"/>
              <w:bottom w:val="single" w:sz="4" w:space="0" w:color="D9D9D9"/>
              <w:right w:val="single" w:sz="4" w:space="0" w:color="D9D9D9"/>
            </w:tcBorders>
          </w:tcPr>
          <w:p w14:paraId="00ABCFF8"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3 / 4</w:t>
            </w:r>
          </w:p>
        </w:tc>
        <w:tc>
          <w:tcPr>
            <w:tcW w:w="850" w:type="dxa"/>
            <w:tcBorders>
              <w:top w:val="single" w:sz="4" w:space="0" w:color="D9D9D9"/>
              <w:left w:val="single" w:sz="4" w:space="0" w:color="D9D9D9"/>
              <w:bottom w:val="single" w:sz="4" w:space="0" w:color="D9D9D9"/>
              <w:right w:val="single" w:sz="4" w:space="0" w:color="D9D9D9"/>
            </w:tcBorders>
          </w:tcPr>
          <w:p w14:paraId="5A561417"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7</w:t>
            </w:r>
          </w:p>
        </w:tc>
        <w:tc>
          <w:tcPr>
            <w:tcW w:w="3515" w:type="dxa"/>
            <w:tcBorders>
              <w:top w:val="single" w:sz="4" w:space="0" w:color="D9D9D9"/>
              <w:left w:val="single" w:sz="4" w:space="0" w:color="D9D9D9"/>
              <w:bottom w:val="single" w:sz="4" w:space="0" w:color="D9D9D9"/>
              <w:right w:val="single" w:sz="4" w:space="0" w:color="D9D9D9"/>
            </w:tcBorders>
          </w:tcPr>
          <w:p w14:paraId="334D9CA3"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Neprihvatljiv</w:t>
            </w:r>
          </w:p>
        </w:tc>
      </w:tr>
      <w:tr w:rsidR="00242C76" w:rsidRPr="00242C76" w14:paraId="7861BD57" w14:textId="77777777" w:rsidTr="00A7784F">
        <w:tc>
          <w:tcPr>
            <w:tcW w:w="2835" w:type="dxa"/>
            <w:tcBorders>
              <w:top w:val="single" w:sz="4" w:space="0" w:color="D9D9D9"/>
              <w:left w:val="single" w:sz="4" w:space="0" w:color="D9D9D9"/>
              <w:bottom w:val="single" w:sz="4" w:space="0" w:color="D9D9D9"/>
              <w:right w:val="single" w:sz="4" w:space="0" w:color="D9D9D9"/>
            </w:tcBorders>
          </w:tcPr>
          <w:p w14:paraId="73DE2431"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Visoke temperature</w:t>
            </w:r>
          </w:p>
        </w:tc>
        <w:tc>
          <w:tcPr>
            <w:tcW w:w="1984" w:type="dxa"/>
            <w:tcBorders>
              <w:top w:val="single" w:sz="4" w:space="0" w:color="D9D9D9"/>
              <w:left w:val="single" w:sz="4" w:space="0" w:color="D9D9D9"/>
              <w:bottom w:val="single" w:sz="4" w:space="0" w:color="D9D9D9"/>
              <w:right w:val="single" w:sz="4" w:space="0" w:color="D9D9D9"/>
            </w:tcBorders>
          </w:tcPr>
          <w:p w14:paraId="2C1F6782"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1 / 2</w:t>
            </w:r>
          </w:p>
        </w:tc>
        <w:tc>
          <w:tcPr>
            <w:tcW w:w="850" w:type="dxa"/>
            <w:tcBorders>
              <w:top w:val="single" w:sz="4" w:space="0" w:color="D9D9D9"/>
              <w:left w:val="single" w:sz="4" w:space="0" w:color="D9D9D9"/>
              <w:bottom w:val="single" w:sz="4" w:space="0" w:color="D9D9D9"/>
              <w:right w:val="single" w:sz="4" w:space="0" w:color="D9D9D9"/>
            </w:tcBorders>
          </w:tcPr>
          <w:p w14:paraId="4BD2BBDF"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3</w:t>
            </w:r>
          </w:p>
        </w:tc>
        <w:tc>
          <w:tcPr>
            <w:tcW w:w="3515" w:type="dxa"/>
            <w:tcBorders>
              <w:top w:val="single" w:sz="4" w:space="0" w:color="D9D9D9"/>
              <w:left w:val="single" w:sz="4" w:space="0" w:color="D9D9D9"/>
              <w:bottom w:val="single" w:sz="4" w:space="0" w:color="D9D9D9"/>
              <w:right w:val="single" w:sz="4" w:space="0" w:color="D9D9D9"/>
            </w:tcBorders>
          </w:tcPr>
          <w:p w14:paraId="6E7E2516"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Prihvatljiv</w:t>
            </w:r>
          </w:p>
        </w:tc>
      </w:tr>
      <w:tr w:rsidR="00242C76" w:rsidRPr="00242C76" w14:paraId="7B7E98AE" w14:textId="77777777" w:rsidTr="00A7784F">
        <w:tc>
          <w:tcPr>
            <w:tcW w:w="2835" w:type="dxa"/>
            <w:tcBorders>
              <w:top w:val="single" w:sz="4" w:space="0" w:color="D9D9D9"/>
              <w:left w:val="single" w:sz="4" w:space="0" w:color="D9D9D9"/>
              <w:bottom w:val="single" w:sz="4" w:space="0" w:color="D9D9D9"/>
              <w:right w:val="single" w:sz="4" w:space="0" w:color="D9D9D9"/>
            </w:tcBorders>
          </w:tcPr>
          <w:p w14:paraId="58A9B8A7"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Epidemije i pandemije</w:t>
            </w:r>
          </w:p>
        </w:tc>
        <w:tc>
          <w:tcPr>
            <w:tcW w:w="1984" w:type="dxa"/>
            <w:tcBorders>
              <w:top w:val="single" w:sz="4" w:space="0" w:color="D9D9D9"/>
              <w:left w:val="single" w:sz="4" w:space="0" w:color="D9D9D9"/>
              <w:bottom w:val="single" w:sz="4" w:space="0" w:color="D9D9D9"/>
              <w:right w:val="single" w:sz="4" w:space="0" w:color="D9D9D9"/>
            </w:tcBorders>
          </w:tcPr>
          <w:p w14:paraId="021DB6DD"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2 / 3</w:t>
            </w:r>
          </w:p>
        </w:tc>
        <w:tc>
          <w:tcPr>
            <w:tcW w:w="850" w:type="dxa"/>
            <w:tcBorders>
              <w:top w:val="single" w:sz="4" w:space="0" w:color="D9D9D9"/>
              <w:left w:val="single" w:sz="4" w:space="0" w:color="D9D9D9"/>
              <w:bottom w:val="single" w:sz="4" w:space="0" w:color="D9D9D9"/>
              <w:right w:val="single" w:sz="4" w:space="0" w:color="D9D9D9"/>
            </w:tcBorders>
          </w:tcPr>
          <w:p w14:paraId="48FCE7BE"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5</w:t>
            </w:r>
          </w:p>
        </w:tc>
        <w:tc>
          <w:tcPr>
            <w:tcW w:w="3515" w:type="dxa"/>
            <w:tcBorders>
              <w:top w:val="single" w:sz="4" w:space="0" w:color="D9D9D9"/>
              <w:left w:val="single" w:sz="4" w:space="0" w:color="D9D9D9"/>
              <w:bottom w:val="single" w:sz="4" w:space="0" w:color="D9D9D9"/>
              <w:right w:val="single" w:sz="4" w:space="0" w:color="D9D9D9"/>
            </w:tcBorders>
          </w:tcPr>
          <w:p w14:paraId="29534B5B"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Toleriran</w:t>
            </w:r>
          </w:p>
        </w:tc>
      </w:tr>
      <w:tr w:rsidR="00242C76" w:rsidRPr="00242C76" w14:paraId="7441FAE8" w14:textId="77777777" w:rsidTr="00A7784F">
        <w:tc>
          <w:tcPr>
            <w:tcW w:w="2835" w:type="dxa"/>
            <w:tcBorders>
              <w:top w:val="single" w:sz="4" w:space="0" w:color="D9D9D9"/>
              <w:left w:val="single" w:sz="4" w:space="0" w:color="D9D9D9"/>
              <w:bottom w:val="single" w:sz="4" w:space="0" w:color="D9D9D9"/>
              <w:right w:val="single" w:sz="4" w:space="0" w:color="D9D9D9"/>
            </w:tcBorders>
          </w:tcPr>
          <w:p w14:paraId="42B43503"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Požar otvorenog prostora</w:t>
            </w:r>
          </w:p>
        </w:tc>
        <w:tc>
          <w:tcPr>
            <w:tcW w:w="1984" w:type="dxa"/>
            <w:tcBorders>
              <w:top w:val="single" w:sz="4" w:space="0" w:color="D9D9D9"/>
              <w:left w:val="single" w:sz="4" w:space="0" w:color="D9D9D9"/>
              <w:bottom w:val="single" w:sz="4" w:space="0" w:color="D9D9D9"/>
              <w:right w:val="single" w:sz="4" w:space="0" w:color="D9D9D9"/>
            </w:tcBorders>
          </w:tcPr>
          <w:p w14:paraId="166279DA"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2 / 3</w:t>
            </w:r>
          </w:p>
        </w:tc>
        <w:tc>
          <w:tcPr>
            <w:tcW w:w="850" w:type="dxa"/>
            <w:tcBorders>
              <w:top w:val="single" w:sz="4" w:space="0" w:color="D9D9D9"/>
              <w:left w:val="single" w:sz="4" w:space="0" w:color="D9D9D9"/>
              <w:bottom w:val="single" w:sz="4" w:space="0" w:color="D9D9D9"/>
              <w:right w:val="single" w:sz="4" w:space="0" w:color="D9D9D9"/>
            </w:tcBorders>
          </w:tcPr>
          <w:p w14:paraId="5AE957CA"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5</w:t>
            </w:r>
          </w:p>
        </w:tc>
        <w:tc>
          <w:tcPr>
            <w:tcW w:w="3515" w:type="dxa"/>
            <w:tcBorders>
              <w:top w:val="single" w:sz="4" w:space="0" w:color="D9D9D9"/>
              <w:left w:val="single" w:sz="4" w:space="0" w:color="D9D9D9"/>
              <w:bottom w:val="single" w:sz="4" w:space="0" w:color="D9D9D9"/>
              <w:right w:val="single" w:sz="4" w:space="0" w:color="D9D9D9"/>
            </w:tcBorders>
          </w:tcPr>
          <w:p w14:paraId="44D9D80B" w14:textId="77777777" w:rsidR="00242C76" w:rsidRPr="00242C76" w:rsidRDefault="00242C76" w:rsidP="00A7784F">
            <w:pPr>
              <w:rPr>
                <w:rFonts w:ascii="Times New Roman" w:hAnsi="Times New Roman"/>
                <w:sz w:val="22"/>
                <w:szCs w:val="22"/>
              </w:rPr>
            </w:pPr>
            <w:r w:rsidRPr="00242C76">
              <w:rPr>
                <w:rFonts w:ascii="Times New Roman" w:hAnsi="Times New Roman"/>
                <w:sz w:val="22"/>
                <w:szCs w:val="22"/>
              </w:rPr>
              <w:t>Toleriran</w:t>
            </w:r>
          </w:p>
        </w:tc>
      </w:tr>
    </w:tbl>
    <w:p w14:paraId="2243791D" w14:textId="77777777" w:rsidR="00242C76" w:rsidRPr="00242C76" w:rsidRDefault="00242C76" w:rsidP="00242C76">
      <w:pPr>
        <w:spacing w:before="120"/>
        <w:rPr>
          <w:rFonts w:ascii="Times New Roman" w:hAnsi="Times New Roman"/>
          <w:i/>
          <w:iCs/>
        </w:rPr>
      </w:pPr>
      <w:r w:rsidRPr="00242C76">
        <w:rPr>
          <w:rFonts w:ascii="Times New Roman" w:hAnsi="Times New Roman"/>
          <w:i/>
          <w:iCs/>
        </w:rPr>
        <w:t>¹ Najvjerojatniji događaj / događaj s najgorim posljedicama. Izvor: Procjena, tablica 110, str. 98. Zbroj je rezultat metode vrednovanja u elaboratu, a nije postotak vjerojatnosti.</w:t>
      </w:r>
    </w:p>
    <w:p w14:paraId="33652891" w14:textId="77777777" w:rsidR="00242C76" w:rsidRDefault="00242C76" w:rsidP="00242C76">
      <w:pPr>
        <w:rPr>
          <w:rFonts w:ascii="Times New Roman" w:hAnsi="Times New Roman"/>
          <w:sz w:val="22"/>
          <w:szCs w:val="22"/>
        </w:rPr>
      </w:pPr>
    </w:p>
    <w:p w14:paraId="118A177E" w14:textId="5C33342A"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Potres je prvi prioritet smanjenja rizika. Scenarij intenziteta VIII stupnjeva EMS-98 razmatra smrtne i ozlijeđene osobe, oštećenja građevina i potrebu privremenog zbrinjavanja. Njegova neprihvatljivost zahtijeva planiranje smanjenja ranjivosti i pripreme odgovora, posebno provjeru sigurnosti važnih javnih objekata, prohodnosti pravaca, raspoloživosti mehanizacije i mjesta zbrinjavanja.</w:t>
      </w:r>
    </w:p>
    <w:p w14:paraId="79B3FAF6" w14:textId="77777777" w:rsidR="00242C76" w:rsidRPr="00242C76" w:rsidRDefault="00242C76" w:rsidP="00242C76">
      <w:pPr>
        <w:rPr>
          <w:rFonts w:ascii="Times New Roman" w:hAnsi="Times New Roman"/>
          <w:sz w:val="22"/>
          <w:szCs w:val="22"/>
        </w:rPr>
      </w:pPr>
      <w:r w:rsidRPr="00242C76">
        <w:rPr>
          <w:rFonts w:ascii="Times New Roman" w:hAnsi="Times New Roman"/>
          <w:sz w:val="22"/>
          <w:szCs w:val="22"/>
        </w:rPr>
        <w:t>Tolerirani rizici epidemija i požara zahtijevaju održavanje i unapređenje postojećih mjera te praćenje promjena. Prihvatljivost rizika visokih temperatura ne znači odsutnost opasnosti za pojedinca niti prestanak redovitih mjera upozoravanja, zaštite ranjivih osoba i dostupnosti vode. Razredi prihvatljivosti služe određivanju prioriteta, a ne odustajanju od zaštite.</w:t>
      </w:r>
    </w:p>
    <w:p w14:paraId="55909590" w14:textId="05A2FC45" w:rsidR="00242C76" w:rsidRPr="00242C76" w:rsidRDefault="00242C76" w:rsidP="00242C76">
      <w:pPr>
        <w:pStyle w:val="Heading1"/>
        <w:ind w:firstLine="720"/>
        <w:rPr>
          <w:rFonts w:cs="Times New Roman"/>
          <w:sz w:val="22"/>
          <w:szCs w:val="22"/>
        </w:rPr>
      </w:pPr>
      <w:r w:rsidRPr="00242C76">
        <w:rPr>
          <w:rFonts w:cs="Times New Roman"/>
          <w:sz w:val="22"/>
          <w:szCs w:val="22"/>
        </w:rPr>
        <w:t>5</w:t>
      </w:r>
      <w:r>
        <w:rPr>
          <w:rFonts w:cs="Times New Roman"/>
          <w:sz w:val="22"/>
          <w:szCs w:val="22"/>
        </w:rPr>
        <w:t>.</w:t>
      </w:r>
      <w:r w:rsidRPr="00242C76">
        <w:rPr>
          <w:rFonts w:cs="Times New Roman"/>
          <w:sz w:val="22"/>
          <w:szCs w:val="22"/>
        </w:rPr>
        <w:t xml:space="preserve"> Stanje sustava i organizacijske posljedice</w:t>
      </w:r>
    </w:p>
    <w:p w14:paraId="26C699B8"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U tablici 109 Procjena zbirno ocjenjuje područje preventive i područje reagiranja visokom spremnošću. Glavni oslonac čine vatrogasne snage, Hrvatska gorska služba spašavanja i Hrvatski Crveni križ. Procjena posebno usmjerava razvoj na JVP Mljet, DVD Mljet, DVD Montokuc, HGSS – Stanicu Orebić i Gradsko društvo Crvenog križa Dubrovnik.</w:t>
      </w:r>
    </w:p>
    <w:p w14:paraId="2C03EA9B"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Zbirnu ocjenu potrebno je čitati zajedno s pojedinačnim slabostima. U preventivi nisko su ocijenjeni svijest o rizicima i baze podataka. Za postrojbu civilne zaštite i povjerenike navedeni su nedostaci osposobljenosti, opreme i uvježbanosti. Za koordinatore na lokaciji potrebno je unaprijed utvrditi raspoložive osobe i pripremiti njihovo uključivanje. Općina se kod prijevoza i komunikacija znatno oslanja na druge subjekte, što zahtijeva provjeru njihove stvarne raspoloživosti u nesreći.</w:t>
      </w:r>
    </w:p>
    <w:p w14:paraId="2D4C1014"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Procjena predlaže rasformiranje postojeće postrojbe civilne zaštite i usmjeravanje resursa prema gotovim snagama, pravnim osobama, udrugama i povjerenicima. Takav smjer treba provesti uz prethodno utvrđivanje da preostale snage mogu pokriti potrebne zadaće, osobito kod potresa i otežanog dolaska pomoći. Niska osposobljenost postojeće postrojbe sama po sebi nije dokaz da postrojba nije potrebna.</w:t>
      </w:r>
    </w:p>
    <w:p w14:paraId="5A11ABF3"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Donošenje Procjene ne smatra se zasebnom odlukom o ukidanju postrojbe. Eventualno rasformiranje treba urediti posebnim aktom nadležnog tijela, uz uređivanje statusa pripadnika, evidencija, opreme i preuzimanja zadaća. Ako postojeće snage ne mogu odgovoriti na posljedice utvrđene procjenom, članak 16. stavak 2. Zakona zahtijeva osnivanje dodatnih postrojbi. Organizacijska promjena stoga mora osigurati kontinuitet zaštite.</w:t>
      </w:r>
    </w:p>
    <w:p w14:paraId="72FE7D90" w14:textId="58B4A23B" w:rsidR="00242C76" w:rsidRPr="00242C76" w:rsidRDefault="00242C76" w:rsidP="00242C76">
      <w:pPr>
        <w:pStyle w:val="Heading1"/>
        <w:ind w:firstLine="720"/>
        <w:rPr>
          <w:rFonts w:cs="Times New Roman"/>
          <w:sz w:val="22"/>
          <w:szCs w:val="22"/>
        </w:rPr>
      </w:pPr>
      <w:r w:rsidRPr="00242C76">
        <w:rPr>
          <w:rFonts w:cs="Times New Roman"/>
          <w:sz w:val="22"/>
          <w:szCs w:val="22"/>
        </w:rPr>
        <w:t>6</w:t>
      </w:r>
      <w:r>
        <w:rPr>
          <w:rFonts w:cs="Times New Roman"/>
          <w:sz w:val="22"/>
          <w:szCs w:val="22"/>
        </w:rPr>
        <w:t>.</w:t>
      </w:r>
      <w:r w:rsidRPr="00242C76">
        <w:rPr>
          <w:rFonts w:cs="Times New Roman"/>
          <w:sz w:val="22"/>
          <w:szCs w:val="22"/>
        </w:rPr>
        <w:t xml:space="preserve">  Provedbeni prioriteti nakon donošenja</w:t>
      </w:r>
    </w:p>
    <w:p w14:paraId="2823F9EC"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Predlaže se da načelnik, uz stručnu potporu Stožera i administrativnu potporu Jedinstvenog upravnog odjela, pokrene usklađivanje Plana djelovanja civilne zaštite s novom Procjenom. Planom treba operativno razraditi aktiviranje i komunikaciju, evakuaciju i zbrinjavanje, pristup naseljima, logistiku te traženje pomoći više razine.</w:t>
      </w:r>
    </w:p>
    <w:p w14:paraId="073788E9"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Prvenstveno treba ažurirati kontakte i evidencije ljudi, opreme i vozila; provjeriti pravne osobe određene za potporu sustavu; osposobiti povjerenike i zamjenike te pripremiti koordinatore na lokaciji. S operativnim snagama potrebno je provjeriti alternativne veze, raspoloživost prijevoza, opskrbu vodom i energijom te prihvat pomoći kada su redovite veze prekinute.</w:t>
      </w:r>
    </w:p>
    <w:p w14:paraId="788C12A1" w14:textId="77777777" w:rsidR="00242C76" w:rsidRPr="00242C76" w:rsidRDefault="00242C76" w:rsidP="00242C76">
      <w:pPr>
        <w:ind w:firstLine="720"/>
        <w:rPr>
          <w:rFonts w:ascii="Times New Roman" w:hAnsi="Times New Roman"/>
          <w:sz w:val="22"/>
          <w:szCs w:val="22"/>
        </w:rPr>
      </w:pPr>
      <w:r w:rsidRPr="00242C76">
        <w:rPr>
          <w:rFonts w:ascii="Times New Roman" w:hAnsi="Times New Roman"/>
          <w:sz w:val="22"/>
          <w:szCs w:val="22"/>
        </w:rPr>
        <w:t xml:space="preserve">Programom vježbi preporučuje se zajednička provjera postupanja pri potresu ili požaru, uključujući komunikacijski prekid i pomoć ranjivim osobama. U godišnjoj analizi stanja treba prikazati što je ostvareno, </w:t>
      </w:r>
      <w:r w:rsidRPr="00242C76">
        <w:rPr>
          <w:rFonts w:ascii="Times New Roman" w:hAnsi="Times New Roman"/>
          <w:sz w:val="22"/>
          <w:szCs w:val="22"/>
        </w:rPr>
        <w:lastRenderedPageBreak/>
        <w:t>koji nedostaci ostaju i koje mjere imaju prednost u sljedećoj godini. Navedeni koraci su prijedlog provedbe, a konkretni nositelji, rokovi i sredstva određuju se odgovarajućim planovima i aktima.</w:t>
      </w:r>
    </w:p>
    <w:p w14:paraId="30B3AF56" w14:textId="77777777" w:rsidR="00242C76" w:rsidRPr="00242C76" w:rsidRDefault="00242C76" w:rsidP="00242C76">
      <w:pPr>
        <w:rPr>
          <w:rFonts w:ascii="Times New Roman" w:hAnsi="Times New Roman"/>
          <w:sz w:val="22"/>
          <w:szCs w:val="22"/>
        </w:rPr>
      </w:pPr>
      <w:r w:rsidRPr="00242C76">
        <w:rPr>
          <w:rFonts w:ascii="Times New Roman" w:hAnsi="Times New Roman"/>
          <w:sz w:val="22"/>
          <w:szCs w:val="22"/>
        </w:rPr>
        <w:br w:type="page"/>
      </w:r>
    </w:p>
    <w:p w14:paraId="785A5207" w14:textId="77777777" w:rsidR="00242C76" w:rsidRPr="00242C76" w:rsidRDefault="00242C76" w:rsidP="00242C76">
      <w:pPr>
        <w:pStyle w:val="Heading1"/>
        <w:rPr>
          <w:rFonts w:cs="Times New Roman"/>
          <w:sz w:val="22"/>
          <w:szCs w:val="22"/>
        </w:rPr>
      </w:pPr>
      <w:r w:rsidRPr="00242C76">
        <w:rPr>
          <w:rFonts w:cs="Times New Roman"/>
          <w:sz w:val="22"/>
          <w:szCs w:val="22"/>
        </w:rPr>
        <w:t>7  Financijski učinci i proračunsko planiranje</w:t>
      </w:r>
    </w:p>
    <w:p w14:paraId="3C09C3F0" w14:textId="77777777" w:rsidR="00242C76" w:rsidRPr="00242C76" w:rsidRDefault="00242C76" w:rsidP="00242C76">
      <w:pPr>
        <w:rPr>
          <w:rFonts w:ascii="Times New Roman" w:hAnsi="Times New Roman"/>
          <w:sz w:val="22"/>
          <w:szCs w:val="22"/>
        </w:rPr>
      </w:pPr>
      <w:r w:rsidRPr="00242C76">
        <w:rPr>
          <w:rFonts w:ascii="Times New Roman" w:hAnsi="Times New Roman"/>
          <w:sz w:val="22"/>
          <w:szCs w:val="22"/>
        </w:rPr>
        <w:t>Procjena ne sadrži jedinstven troškovnik svih budućih mjera. Stoga se njezino donošenje ne može obrazložiti tvrdnjom da provedba neće imati financijske učinke. Troškovi ovise o opsegu osposobljavanja, vježbi, opremanja, komunikacijskih i logističkih rješenja te eventualnih zahvata na građevinama.</w:t>
      </w:r>
    </w:p>
    <w:p w14:paraId="5DAEAF85" w14:textId="77777777" w:rsidR="00242C76" w:rsidRPr="00242C76" w:rsidRDefault="00242C76" w:rsidP="00242C76">
      <w:pPr>
        <w:rPr>
          <w:rFonts w:ascii="Times New Roman" w:hAnsi="Times New Roman"/>
          <w:sz w:val="22"/>
          <w:szCs w:val="22"/>
        </w:rPr>
      </w:pPr>
      <w:r w:rsidRPr="00242C76">
        <w:rPr>
          <w:rFonts w:ascii="Times New Roman" w:hAnsi="Times New Roman"/>
          <w:sz w:val="22"/>
          <w:szCs w:val="22"/>
        </w:rPr>
        <w:t>Na stranici 88. elaborata navedeno je 10.800,00 EUR za održavanje sustava civilne zaštite, 1.096.959,00 EUR za vatrogastvo, 4.000,00 EUR za Crveni križ i 1.800,00 EUR za HGSS. Riječ je o iznosima preuzetima iz Procjene, a ne potvrdi trenutačno važećih proračunskih sredstava ni njihovoj realizaciji. Prije donošenja potrebno ih je uskladiti s važećim Proračunom i njegovim izmjenama.</w:t>
      </w:r>
    </w:p>
    <w:p w14:paraId="11905949" w14:textId="77777777" w:rsidR="00242C76" w:rsidRPr="00242C76" w:rsidRDefault="00242C76" w:rsidP="00242C76">
      <w:pPr>
        <w:rPr>
          <w:rFonts w:ascii="Times New Roman" w:hAnsi="Times New Roman"/>
          <w:sz w:val="22"/>
          <w:szCs w:val="22"/>
        </w:rPr>
      </w:pPr>
      <w:r w:rsidRPr="00242C76">
        <w:rPr>
          <w:rFonts w:ascii="Times New Roman" w:hAnsi="Times New Roman"/>
          <w:sz w:val="22"/>
          <w:szCs w:val="22"/>
        </w:rPr>
        <w:t>Posebno je potrebno uskladiti proračunsku osnovicu: na stranici 18. navodi se 2.402.809,00 EUR, a na stranici 88. iznos 3.567.262,00 EUR. Budući da se posljedice za gospodarstvo iskazuju i u odnosu na proračun, razlika nije samo redakcijsko pitanje. Izrađivač treba potvrditi korištenu osnovicu i po potrebi uskladiti izračune, kategorije posljedica i završne matrice.</w:t>
      </w:r>
    </w:p>
    <w:p w14:paraId="69BE026F" w14:textId="77777777" w:rsidR="00242C76" w:rsidRPr="00242C76" w:rsidRDefault="00242C76" w:rsidP="00242C76">
      <w:pPr>
        <w:rPr>
          <w:rFonts w:ascii="Times New Roman" w:hAnsi="Times New Roman"/>
          <w:sz w:val="22"/>
          <w:szCs w:val="22"/>
        </w:rPr>
      </w:pPr>
      <w:r w:rsidRPr="00242C76">
        <w:rPr>
          <w:rFonts w:ascii="Times New Roman" w:hAnsi="Times New Roman"/>
          <w:sz w:val="22"/>
          <w:szCs w:val="22"/>
        </w:rPr>
        <w:t>Za provedbu se predlaže povezivanje prioriteta s godišnjim planom razvoja civilne zaštite, proračunom, financijskim planovima relevantnih subjekata i planom nabave. Prednost imaju mjere koje uklanjaju utvrđene slabosti uz razmjeran trošak, a ulaganja većeg opsega treba planirati prema raspoloživim sredstvima i mogućnostima sufinanciranja.</w:t>
      </w:r>
    </w:p>
    <w:p w14:paraId="39705004" w14:textId="77777777" w:rsidR="00242C76" w:rsidRPr="00242C76" w:rsidRDefault="00242C76" w:rsidP="00242C76">
      <w:pPr>
        <w:pStyle w:val="Heading1"/>
        <w:rPr>
          <w:rFonts w:cs="Times New Roman"/>
          <w:sz w:val="22"/>
          <w:szCs w:val="22"/>
        </w:rPr>
      </w:pPr>
      <w:r w:rsidRPr="00242C76">
        <w:rPr>
          <w:rFonts w:cs="Times New Roman"/>
          <w:sz w:val="22"/>
          <w:szCs w:val="22"/>
        </w:rPr>
        <w:t>8  Učinak predložene Odluke i prijedlog Vijeću</w:t>
      </w:r>
    </w:p>
    <w:p w14:paraId="24BA6E50" w14:textId="77777777" w:rsidR="00242C76" w:rsidRPr="00242C76" w:rsidRDefault="00242C76" w:rsidP="00242C76">
      <w:pPr>
        <w:rPr>
          <w:rFonts w:ascii="Times New Roman" w:hAnsi="Times New Roman"/>
          <w:sz w:val="22"/>
          <w:szCs w:val="22"/>
        </w:rPr>
      </w:pPr>
      <w:r w:rsidRPr="00242C76">
        <w:rPr>
          <w:rFonts w:ascii="Times New Roman" w:hAnsi="Times New Roman"/>
          <w:sz w:val="22"/>
          <w:szCs w:val="22"/>
        </w:rPr>
        <w:t>Odlukom se donosi nova Procjena kao njezin sastavni dio te se uređuje prestanak važenja Odluke iz 2018. godine. Pri konačnom oblikovanju potrebno je nedvojbeno identificirati elaborat koji Vijeće donosi, urediti njegovu dostupnost i uskladiti odredbu o stupanju na snagu s pravilima objave. Neobjavljivanje opsežnog elaborata u tiskanom glasilu ne treba poistovjetiti s njegovom nedostupnošću vijećnicima, operativnim snagama ili javnosti.</w:t>
      </w:r>
    </w:p>
    <w:p w14:paraId="1F26CA22" w14:textId="77777777" w:rsidR="00242C76" w:rsidRPr="00242C76" w:rsidRDefault="00242C76" w:rsidP="00242C76">
      <w:pPr>
        <w:rPr>
          <w:rFonts w:ascii="Times New Roman" w:hAnsi="Times New Roman"/>
          <w:sz w:val="22"/>
          <w:szCs w:val="22"/>
        </w:rPr>
      </w:pPr>
      <w:r w:rsidRPr="00242C76">
        <w:rPr>
          <w:rFonts w:ascii="Times New Roman" w:hAnsi="Times New Roman"/>
          <w:sz w:val="22"/>
          <w:szCs w:val="22"/>
        </w:rPr>
        <w:t>Predlaže se Općinskom vijeću donošenje Odluke nakon usklađivanja konačnog teksta i ulaznih podataka elaborata. Time se uspostavlja aktualna osnova za razvoj sustava civilne zaštite, s prvenstvom smanjenja potresnog rizika, održavanjem spremnosti za požare i epidemije te otklanjanjem utvrđenih slabosti u osposobljavanju, evidencijama, komunikaciji i logistici.</w:t>
      </w:r>
    </w:p>
    <w:p w14:paraId="2E253060" w14:textId="77777777" w:rsidR="00242C76" w:rsidRPr="00242C76" w:rsidRDefault="00242C76" w:rsidP="00242C76">
      <w:pPr>
        <w:rPr>
          <w:rFonts w:ascii="Times New Roman" w:hAnsi="Times New Roman"/>
          <w:sz w:val="22"/>
          <w:szCs w:val="22"/>
        </w:rPr>
      </w:pPr>
      <w:r w:rsidRPr="00242C76">
        <w:rPr>
          <w:rFonts w:ascii="Times New Roman" w:hAnsi="Times New Roman"/>
          <w:sz w:val="22"/>
          <w:szCs w:val="22"/>
        </w:rPr>
        <w:t>Stvarni učinak donošenja mjerit će se provedbom planiranih mjera, raspoloživošću snaga i opreme te sposobnošću koordiniranog djelovanja u otočnim uvjetima. O ostvarenju tih prioriteta Vijeće treba dobivati pregled kroz godišnje planske i izvještajne dokumente sustava civilne zaštite.</w:t>
      </w:r>
    </w:p>
    <w:p w14:paraId="383CBFA0" w14:textId="60449FBC" w:rsidR="00657584" w:rsidRPr="00242C76" w:rsidRDefault="00AF7536" w:rsidP="00242C76">
      <w:pPr>
        <w:rPr>
          <w:rFonts w:ascii="Times New Roman" w:hAnsi="Times New Roman"/>
          <w:sz w:val="22"/>
          <w:szCs w:val="22"/>
        </w:rPr>
      </w:pPr>
      <w:r w:rsidRPr="00242C76">
        <w:rPr>
          <w:rFonts w:ascii="Times New Roman" w:hAnsi="Times New Roman"/>
          <w:sz w:val="22"/>
          <w:szCs w:val="22"/>
        </w:rPr>
        <w:fldChar w:fldCharType="begin"/>
      </w:r>
      <w:r w:rsidR="00657584" w:rsidRPr="00242C76">
        <w:rPr>
          <w:rFonts w:ascii="Times New Roman" w:hAnsi="Times New Roman"/>
          <w:sz w:val="22"/>
          <w:szCs w:val="22"/>
        </w:rPr>
        <w:instrText xml:space="preserve"> FILLIN "Upisite datum..." \d </w:instrText>
      </w:r>
      <w:r w:rsidRPr="00242C76">
        <w:rPr>
          <w:rFonts w:ascii="Times New Roman" w:hAnsi="Times New Roman"/>
          <w:sz w:val="22"/>
          <w:szCs w:val="22"/>
        </w:rPr>
        <w:fldChar w:fldCharType="begin"/>
      </w:r>
      <w:r w:rsidR="00657584" w:rsidRPr="00242C76">
        <w:rPr>
          <w:rFonts w:ascii="Times New Roman" w:hAnsi="Times New Roman"/>
          <w:sz w:val="22"/>
          <w:szCs w:val="22"/>
        </w:rPr>
        <w:instrText xml:space="preserve"> DATE \@ "dd.MM.yyyy" \* MERGEFORMAT </w:instrText>
      </w:r>
      <w:r w:rsidRPr="00242C76">
        <w:rPr>
          <w:rFonts w:ascii="Times New Roman" w:hAnsi="Times New Roman"/>
          <w:sz w:val="22"/>
          <w:szCs w:val="22"/>
        </w:rPr>
        <w:fldChar w:fldCharType="separate"/>
      </w:r>
      <w:r w:rsidR="00601293">
        <w:rPr>
          <w:rFonts w:ascii="Times New Roman" w:hAnsi="Times New Roman"/>
          <w:noProof/>
          <w:sz w:val="22"/>
          <w:szCs w:val="22"/>
        </w:rPr>
        <w:instrText>20.10.2026</w:instrText>
      </w:r>
      <w:r w:rsidRPr="00242C76">
        <w:rPr>
          <w:rFonts w:ascii="Times New Roman" w:hAnsi="Times New Roman"/>
          <w:sz w:val="22"/>
          <w:szCs w:val="22"/>
        </w:rPr>
        <w:fldChar w:fldCharType="end"/>
      </w:r>
      <w:r w:rsidR="00657584" w:rsidRPr="00242C76">
        <w:rPr>
          <w:rFonts w:ascii="Times New Roman" w:hAnsi="Times New Roman"/>
          <w:sz w:val="22"/>
          <w:szCs w:val="22"/>
        </w:rPr>
        <w:instrText xml:space="preserve"> \* MERGEFORMAT </w:instrText>
      </w:r>
      <w:r w:rsidRPr="00242C76">
        <w:rPr>
          <w:rFonts w:ascii="Times New Roman" w:hAnsi="Times New Roman"/>
          <w:sz w:val="22"/>
          <w:szCs w:val="22"/>
        </w:rPr>
        <w:fldChar w:fldCharType="end"/>
      </w:r>
      <w:r w:rsidR="00657584" w:rsidRPr="00242C76">
        <w:rPr>
          <w:rFonts w:ascii="Times New Roman" w:hAnsi="Times New Roman"/>
          <w:sz w:val="22"/>
          <w:szCs w:val="22"/>
        </w:rPr>
        <w:tab/>
      </w:r>
      <w:r w:rsidRPr="00242C76">
        <w:rPr>
          <w:rFonts w:ascii="Times New Roman" w:hAnsi="Times New Roman"/>
          <w:sz w:val="22"/>
          <w:szCs w:val="22"/>
        </w:rPr>
        <w:fldChar w:fldCharType="begin"/>
      </w:r>
      <w:r w:rsidR="00657584" w:rsidRPr="00242C76">
        <w:rPr>
          <w:rFonts w:ascii="Times New Roman" w:hAnsi="Times New Roman"/>
          <w:sz w:val="22"/>
          <w:szCs w:val="22"/>
        </w:rPr>
        <w:instrText xml:space="preserve"> FILLIN "Upisite datum..." \d </w:instrText>
      </w:r>
      <w:r w:rsidRPr="00242C76">
        <w:rPr>
          <w:rFonts w:ascii="Times New Roman" w:hAnsi="Times New Roman"/>
          <w:sz w:val="22"/>
          <w:szCs w:val="22"/>
        </w:rPr>
        <w:fldChar w:fldCharType="begin"/>
      </w:r>
      <w:r w:rsidR="00657584" w:rsidRPr="00242C76">
        <w:rPr>
          <w:rFonts w:ascii="Times New Roman" w:hAnsi="Times New Roman"/>
          <w:sz w:val="22"/>
          <w:szCs w:val="22"/>
        </w:rPr>
        <w:instrText xml:space="preserve"> DATE \@ "dd.MM.yyyy" \* MERGEFORMAT </w:instrText>
      </w:r>
      <w:r w:rsidRPr="00242C76">
        <w:rPr>
          <w:rFonts w:ascii="Times New Roman" w:hAnsi="Times New Roman"/>
          <w:sz w:val="22"/>
          <w:szCs w:val="22"/>
        </w:rPr>
        <w:fldChar w:fldCharType="separate"/>
      </w:r>
      <w:r w:rsidR="00601293">
        <w:rPr>
          <w:rFonts w:ascii="Times New Roman" w:hAnsi="Times New Roman"/>
          <w:noProof/>
          <w:sz w:val="22"/>
          <w:szCs w:val="22"/>
        </w:rPr>
        <w:instrText>20.10.2026</w:instrText>
      </w:r>
      <w:r w:rsidRPr="00242C76">
        <w:rPr>
          <w:rFonts w:ascii="Times New Roman" w:hAnsi="Times New Roman"/>
          <w:sz w:val="22"/>
          <w:szCs w:val="22"/>
        </w:rPr>
        <w:fldChar w:fldCharType="end"/>
      </w:r>
      <w:r w:rsidR="00657584" w:rsidRPr="00242C76">
        <w:rPr>
          <w:rFonts w:ascii="Times New Roman" w:hAnsi="Times New Roman"/>
          <w:sz w:val="22"/>
          <w:szCs w:val="22"/>
        </w:rPr>
        <w:instrText xml:space="preserve"> \* MERGEFORMAT </w:instrText>
      </w:r>
      <w:r w:rsidRPr="00242C76">
        <w:rPr>
          <w:rFonts w:ascii="Times New Roman" w:hAnsi="Times New Roman"/>
          <w:sz w:val="22"/>
          <w:szCs w:val="22"/>
        </w:rPr>
        <w:fldChar w:fldCharType="end"/>
      </w:r>
    </w:p>
    <w:sectPr w:rsidR="00657584" w:rsidRPr="00242C76" w:rsidSect="007027A6">
      <w:footerReference w:type="default" r:id="rId6"/>
      <w:headerReference w:type="first" r:id="rId7"/>
      <w:footerReference w:type="first" r:id="rId8"/>
      <w:pgSz w:w="11906" w:h="16838" w:code="9"/>
      <w:pgMar w:top="2070" w:right="1162" w:bottom="1701" w:left="1162" w:header="56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B3577" w14:textId="77777777" w:rsidR="00FA3C26" w:rsidRDefault="00FA3C26">
      <w:r>
        <w:separator/>
      </w:r>
    </w:p>
  </w:endnote>
  <w:endnote w:type="continuationSeparator" w:id="0">
    <w:p w14:paraId="7B9C37D4" w14:textId="77777777" w:rsidR="00FA3C26" w:rsidRDefault="00FA3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R Times">
    <w:altName w:val="Courier New"/>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A3894" w14:textId="77777777" w:rsidR="00B44773" w:rsidRDefault="00AF7536">
    <w:pPr>
      <w:pStyle w:val="Footer"/>
      <w:jc w:val="center"/>
      <w:rPr>
        <w:sz w:val="24"/>
      </w:rPr>
    </w:pPr>
    <w:r>
      <w:rPr>
        <w:rStyle w:val="PageNumber"/>
        <w:sz w:val="24"/>
      </w:rPr>
      <w:fldChar w:fldCharType="begin"/>
    </w:r>
    <w:r w:rsidR="00B44773">
      <w:rPr>
        <w:rStyle w:val="PageNumber"/>
        <w:sz w:val="24"/>
      </w:rPr>
      <w:instrText xml:space="preserve"> PAGE </w:instrText>
    </w:r>
    <w:r>
      <w:rPr>
        <w:rStyle w:val="PageNumber"/>
        <w:sz w:val="24"/>
      </w:rPr>
      <w:fldChar w:fldCharType="separate"/>
    </w:r>
    <w:r w:rsidR="00666F9C">
      <w:rPr>
        <w:rStyle w:val="PageNumber"/>
        <w:noProof/>
        <w:sz w:val="24"/>
      </w:rPr>
      <w:t>2</w:t>
    </w:r>
    <w:r>
      <w:rPr>
        <w:rStyle w:val="PageNumbe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360C0" w14:textId="699C00C1" w:rsidR="00B44773" w:rsidRPr="006045E1" w:rsidRDefault="001B6F15" w:rsidP="00C33AEF">
    <w:pPr>
      <w:pStyle w:val="Footer"/>
      <w:jc w:val="center"/>
      <w:rPr>
        <w:rFonts w:ascii="Times New Roman" w:hAnsi="Times New Roman"/>
      </w:rPr>
    </w:pPr>
    <w:r>
      <w:rPr>
        <w:noProof/>
        <w:lang w:eastAsia="hr-HR"/>
      </w:rPr>
      <mc:AlternateContent>
        <mc:Choice Requires="wps">
          <w:drawing>
            <wp:anchor distT="4294967295" distB="4294967295" distL="114300" distR="114300" simplePos="0" relativeHeight="251658240" behindDoc="0" locked="0" layoutInCell="0" allowOverlap="1" wp14:anchorId="53E59127" wp14:editId="459E6BD7">
              <wp:simplePos x="0" y="0"/>
              <wp:positionH relativeFrom="page">
                <wp:posOffset>485775</wp:posOffset>
              </wp:positionH>
              <wp:positionV relativeFrom="paragraph">
                <wp:posOffset>-28576</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391F7E" id="Line 4" o:spid="_x0000_s1026" style="position:absolute;z-index:2516582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698391CB"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777D163F"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14CB789C"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E2673" w14:textId="77777777" w:rsidR="00FA3C26" w:rsidRDefault="00FA3C26">
      <w:r>
        <w:separator/>
      </w:r>
    </w:p>
  </w:footnote>
  <w:footnote w:type="continuationSeparator" w:id="0">
    <w:p w14:paraId="26CA1107" w14:textId="77777777" w:rsidR="00FA3C26" w:rsidRDefault="00FA3C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9629E"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504DFC95" wp14:editId="5ADFB9BE">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anchor>
      </w:drawing>
    </w:r>
  </w:p>
  <w:p w14:paraId="4A791E9D"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2398575C"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265C3499"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3A5A92B2" w14:textId="77777777"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Općinski načelnik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584"/>
    <w:rsid w:val="00035E59"/>
    <w:rsid w:val="00061A33"/>
    <w:rsid w:val="00071382"/>
    <w:rsid w:val="000A3964"/>
    <w:rsid w:val="000E5713"/>
    <w:rsid w:val="00115804"/>
    <w:rsid w:val="001B3621"/>
    <w:rsid w:val="001B6F15"/>
    <w:rsid w:val="00242C76"/>
    <w:rsid w:val="0026713D"/>
    <w:rsid w:val="002967C9"/>
    <w:rsid w:val="002A0065"/>
    <w:rsid w:val="002A5599"/>
    <w:rsid w:val="002A57FE"/>
    <w:rsid w:val="002B7566"/>
    <w:rsid w:val="002C6182"/>
    <w:rsid w:val="002D3431"/>
    <w:rsid w:val="002F1F4E"/>
    <w:rsid w:val="002F756E"/>
    <w:rsid w:val="003025C5"/>
    <w:rsid w:val="00331125"/>
    <w:rsid w:val="003A1792"/>
    <w:rsid w:val="00421A91"/>
    <w:rsid w:val="00423226"/>
    <w:rsid w:val="00432137"/>
    <w:rsid w:val="00450F9A"/>
    <w:rsid w:val="00461232"/>
    <w:rsid w:val="0048499B"/>
    <w:rsid w:val="00491A22"/>
    <w:rsid w:val="004B4348"/>
    <w:rsid w:val="00500D08"/>
    <w:rsid w:val="00513C00"/>
    <w:rsid w:val="00523F2E"/>
    <w:rsid w:val="00575635"/>
    <w:rsid w:val="00601293"/>
    <w:rsid w:val="006045E1"/>
    <w:rsid w:val="006121E9"/>
    <w:rsid w:val="00613EE6"/>
    <w:rsid w:val="00615C0B"/>
    <w:rsid w:val="006236F7"/>
    <w:rsid w:val="00657584"/>
    <w:rsid w:val="00666F9C"/>
    <w:rsid w:val="006C2C3C"/>
    <w:rsid w:val="006E4776"/>
    <w:rsid w:val="006F5276"/>
    <w:rsid w:val="006F67C0"/>
    <w:rsid w:val="007027A6"/>
    <w:rsid w:val="0071228D"/>
    <w:rsid w:val="00722ACC"/>
    <w:rsid w:val="00741130"/>
    <w:rsid w:val="00790C16"/>
    <w:rsid w:val="007D2D8C"/>
    <w:rsid w:val="007E3034"/>
    <w:rsid w:val="00850D0C"/>
    <w:rsid w:val="008821E9"/>
    <w:rsid w:val="00885A42"/>
    <w:rsid w:val="009365EC"/>
    <w:rsid w:val="009A64AC"/>
    <w:rsid w:val="009D1618"/>
    <w:rsid w:val="009F27EE"/>
    <w:rsid w:val="00A23355"/>
    <w:rsid w:val="00A26AA4"/>
    <w:rsid w:val="00AB26C7"/>
    <w:rsid w:val="00AD1F6E"/>
    <w:rsid w:val="00AE15F0"/>
    <w:rsid w:val="00AF7536"/>
    <w:rsid w:val="00B109F2"/>
    <w:rsid w:val="00B44773"/>
    <w:rsid w:val="00B7068A"/>
    <w:rsid w:val="00B96F24"/>
    <w:rsid w:val="00BA0AB3"/>
    <w:rsid w:val="00BA60EB"/>
    <w:rsid w:val="00C109B1"/>
    <w:rsid w:val="00C2293A"/>
    <w:rsid w:val="00C33AEF"/>
    <w:rsid w:val="00C670FA"/>
    <w:rsid w:val="00C67F01"/>
    <w:rsid w:val="00CE4C80"/>
    <w:rsid w:val="00D03E59"/>
    <w:rsid w:val="00D23FBD"/>
    <w:rsid w:val="00D807EF"/>
    <w:rsid w:val="00DA3DDA"/>
    <w:rsid w:val="00DD44D5"/>
    <w:rsid w:val="00DE5E2C"/>
    <w:rsid w:val="00DF36F8"/>
    <w:rsid w:val="00E00698"/>
    <w:rsid w:val="00E051E2"/>
    <w:rsid w:val="00E14F7A"/>
    <w:rsid w:val="00E3221F"/>
    <w:rsid w:val="00E54E12"/>
    <w:rsid w:val="00E8620E"/>
    <w:rsid w:val="00EA259E"/>
    <w:rsid w:val="00EB6D37"/>
    <w:rsid w:val="00ED76CA"/>
    <w:rsid w:val="00EE00E6"/>
    <w:rsid w:val="00F04E75"/>
    <w:rsid w:val="00F201F6"/>
    <w:rsid w:val="00F5386D"/>
    <w:rsid w:val="00F71780"/>
    <w:rsid w:val="00FA3C26"/>
    <w:rsid w:val="00FC75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58ACD6"/>
  <w15:docId w15:val="{68D5C4E7-A5BE-4EF5-B17A-3E3E80942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536"/>
    <w:rPr>
      <w:rFonts w:ascii="HR Times" w:hAnsi="HR Times"/>
      <w:lang w:eastAsia="en-US"/>
    </w:rPr>
  </w:style>
  <w:style w:type="paragraph" w:styleId="Heading1">
    <w:name w:val="heading 1"/>
    <w:basedOn w:val="Normal"/>
    <w:next w:val="Normal"/>
    <w:link w:val="Heading1Char"/>
    <w:uiPriority w:val="9"/>
    <w:qFormat/>
    <w:rsid w:val="00242C76"/>
    <w:pPr>
      <w:keepNext/>
      <w:keepLines/>
      <w:spacing w:before="200" w:line="259" w:lineRule="auto"/>
      <w:outlineLvl w:val="0"/>
    </w:pPr>
    <w:rPr>
      <w:rFonts w:ascii="Times New Roman" w:eastAsiaTheme="minorEastAsia" w:hAnsi="Times New Roman" w:cstheme="majorBidi"/>
      <w:b/>
      <w:bCs/>
      <w:color w:val="000000"/>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F7536"/>
    <w:pPr>
      <w:tabs>
        <w:tab w:val="center" w:pos="4153"/>
        <w:tab w:val="right" w:pos="8306"/>
      </w:tabs>
    </w:pPr>
  </w:style>
  <w:style w:type="paragraph" w:styleId="Footer">
    <w:name w:val="footer"/>
    <w:basedOn w:val="Normal"/>
    <w:rsid w:val="00AF7536"/>
    <w:pPr>
      <w:tabs>
        <w:tab w:val="center" w:pos="4153"/>
        <w:tab w:val="right" w:pos="8306"/>
      </w:tabs>
    </w:pPr>
  </w:style>
  <w:style w:type="character" w:styleId="PageNumber">
    <w:name w:val="page number"/>
    <w:basedOn w:val="DefaultParagraphFont"/>
    <w:rsid w:val="00AF7536"/>
  </w:style>
  <w:style w:type="character" w:styleId="Hyperlink">
    <w:name w:val="Hyperlink"/>
    <w:basedOn w:val="DefaultParagraphFont"/>
    <w:rsid w:val="00423226"/>
    <w:rPr>
      <w:color w:val="0000FF"/>
      <w:u w:val="single"/>
    </w:rPr>
  </w:style>
  <w:style w:type="paragraph" w:styleId="BalloonText">
    <w:name w:val="Balloon Text"/>
    <w:basedOn w:val="Normal"/>
    <w:link w:val="BalloonTextChar"/>
    <w:rsid w:val="002F756E"/>
    <w:rPr>
      <w:rFonts w:ascii="Segoe UI" w:hAnsi="Segoe UI" w:cs="Segoe UI"/>
      <w:sz w:val="18"/>
      <w:szCs w:val="18"/>
    </w:rPr>
  </w:style>
  <w:style w:type="character" w:customStyle="1" w:styleId="BalloonTextChar">
    <w:name w:val="Balloon Text Char"/>
    <w:basedOn w:val="DefaultParagraphFont"/>
    <w:link w:val="BalloonText"/>
    <w:rsid w:val="002F756E"/>
    <w:rPr>
      <w:rFonts w:ascii="Segoe UI" w:hAnsi="Segoe UI" w:cs="Segoe UI"/>
      <w:sz w:val="18"/>
      <w:szCs w:val="18"/>
      <w:lang w:eastAsia="en-US"/>
    </w:rPr>
  </w:style>
  <w:style w:type="character" w:customStyle="1" w:styleId="Heading1Char">
    <w:name w:val="Heading 1 Char"/>
    <w:basedOn w:val="DefaultParagraphFont"/>
    <w:link w:val="Heading1"/>
    <w:uiPriority w:val="9"/>
    <w:rsid w:val="00242C76"/>
    <w:rPr>
      <w:rFonts w:eastAsiaTheme="minorEastAsia" w:cstheme="majorBidi"/>
      <w:b/>
      <w:bCs/>
      <w:color w:val="000000"/>
      <w:sz w:val="26"/>
      <w:szCs w:val="28"/>
      <w:lang w:val="en-US" w:eastAsia="en-US"/>
    </w:rPr>
  </w:style>
  <w:style w:type="paragraph" w:styleId="Title">
    <w:name w:val="Title"/>
    <w:basedOn w:val="Normal"/>
    <w:next w:val="Normal"/>
    <w:link w:val="TitleChar"/>
    <w:uiPriority w:val="10"/>
    <w:qFormat/>
    <w:rsid w:val="00242C76"/>
    <w:pPr>
      <w:spacing w:after="300"/>
      <w:contextualSpacing/>
    </w:pPr>
    <w:rPr>
      <w:rFonts w:ascii="Times New Roman" w:eastAsiaTheme="minorEastAsia" w:hAnsi="Times New Roman" w:cstheme="majorBidi"/>
      <w:b/>
      <w:color w:val="000000"/>
      <w:spacing w:val="5"/>
      <w:kern w:val="28"/>
      <w:sz w:val="32"/>
      <w:szCs w:val="52"/>
      <w:lang w:val="en-US"/>
    </w:rPr>
  </w:style>
  <w:style w:type="character" w:customStyle="1" w:styleId="TitleChar">
    <w:name w:val="Title Char"/>
    <w:basedOn w:val="DefaultParagraphFont"/>
    <w:link w:val="Title"/>
    <w:uiPriority w:val="10"/>
    <w:rsid w:val="00242C76"/>
    <w:rPr>
      <w:rFonts w:eastAsiaTheme="minorEastAsia" w:cstheme="majorBidi"/>
      <w:b/>
      <w:color w:val="000000"/>
      <w:spacing w:val="5"/>
      <w:kern w:val="28"/>
      <w:sz w:val="32"/>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Documents\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29</TotalTime>
  <Pages>5</Pages>
  <Words>1595</Words>
  <Characters>10560</Characters>
  <Application>Microsoft Office Word</Application>
  <DocSecurity>0</DocSecurity>
  <Lines>88</Lines>
  <Paragraphs>24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LinksUpToDate>false</LinksUpToDate>
  <CharactersWithSpaces>12131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creator>PC</dc:creator>
  <cp:lastModifiedBy>Opcina Mljet</cp:lastModifiedBy>
  <cp:revision>13</cp:revision>
  <cp:lastPrinted>2019-11-24T20:52:00Z</cp:lastPrinted>
  <dcterms:created xsi:type="dcterms:W3CDTF">2025-11-27T22:07:00Z</dcterms:created>
  <dcterms:modified xsi:type="dcterms:W3CDTF">2026-10-20T07:48:00Z</dcterms:modified>
</cp:coreProperties>
</file>